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566FE" w14:textId="14946F66" w:rsidR="00EF4836" w:rsidRDefault="00EF4836" w:rsidP="00EF4836">
      <w:pPr>
        <w:rPr>
          <w:rFonts w:hint="eastAsia"/>
        </w:rPr>
      </w:pPr>
      <w:r>
        <w:rPr>
          <w:rFonts w:ascii="黑体" w:eastAsia="黑体" w:hAnsi="黑体" w:cs="黑体" w:hint="eastAsia"/>
          <w:sz w:val="32"/>
          <w:szCs w:val="32"/>
        </w:rPr>
        <w:t>附件</w:t>
      </w:r>
      <w:r>
        <w:rPr>
          <w:rFonts w:ascii="黑体" w:eastAsia="黑体" w:hAnsi="黑体" w:cs="黑体"/>
          <w:sz w:val="32"/>
          <w:szCs w:val="32"/>
        </w:rPr>
        <w:t>1</w:t>
      </w:r>
    </w:p>
    <w:p w14:paraId="507CE9CD" w14:textId="77777777" w:rsidR="00EF4836" w:rsidRPr="00EF4836" w:rsidRDefault="00EF4836" w:rsidP="00EF4836">
      <w:pPr>
        <w:pStyle w:val="a5"/>
        <w:adjustRightInd w:val="0"/>
        <w:snapToGrid w:val="0"/>
        <w:spacing w:beforeLines="50" w:before="156" w:afterLines="50" w:after="156" w:line="800" w:lineRule="exact"/>
        <w:ind w:firstLine="0"/>
        <w:jc w:val="center"/>
        <w:rPr>
          <w:rFonts w:ascii="小标宋" w:eastAsia="小标宋" w:hint="eastAsia"/>
        </w:rPr>
      </w:pPr>
      <w:bookmarkStart w:id="0" w:name="_Toc1769198594_WPSOffice_Level1"/>
      <w:r w:rsidRPr="00EF4836">
        <w:rPr>
          <w:rFonts w:ascii="小标宋" w:eastAsia="小标宋" w:hAnsi="方正小标宋简体" w:cs="方正小标宋简体" w:hint="eastAsia"/>
          <w:sz w:val="44"/>
          <w:szCs w:val="44"/>
          <w:lang w:bidi="ar"/>
        </w:rPr>
        <w:t>北京市实验室危险化学品隐患自查清单</w:t>
      </w:r>
      <w:bookmarkEnd w:id="0"/>
    </w:p>
    <w:tbl>
      <w:tblPr>
        <w:tblW w:w="141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71"/>
        <w:gridCol w:w="1064"/>
        <w:gridCol w:w="1089"/>
        <w:gridCol w:w="2861"/>
        <w:gridCol w:w="3889"/>
        <w:gridCol w:w="3868"/>
        <w:gridCol w:w="376"/>
      </w:tblGrid>
      <w:tr w:rsidR="00EF4836" w:rsidRPr="00EF4836" w14:paraId="37925658" w14:textId="77777777" w:rsidTr="008351BE">
        <w:trPr>
          <w:trHeight w:val="346"/>
          <w:tblHeader/>
          <w:jc w:val="center"/>
        </w:trPr>
        <w:tc>
          <w:tcPr>
            <w:tcW w:w="971" w:type="dxa"/>
            <w:vMerge w:val="restart"/>
            <w:tcBorders>
              <w:tl2br w:val="nil"/>
              <w:tr2bl w:val="nil"/>
            </w:tcBorders>
            <w:shd w:val="clear" w:color="auto" w:fill="95B3D7"/>
            <w:vAlign w:val="center"/>
          </w:tcPr>
          <w:p w14:paraId="63223AE8"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lang w:bidi="ar"/>
              </w:rPr>
            </w:pPr>
            <w:r w:rsidRPr="00EF4836">
              <w:rPr>
                <w:rFonts w:ascii="仿宋_GB2312" w:eastAsia="仿宋_GB2312" w:hAnsi="仿宋_GB2312" w:cs="仿宋_GB2312" w:hint="eastAsia"/>
                <w:b/>
                <w:color w:val="000000"/>
                <w:kern w:val="0"/>
                <w:sz w:val="20"/>
                <w:szCs w:val="20"/>
                <w:lang w:bidi="ar"/>
              </w:rPr>
              <w:t>编号</w:t>
            </w:r>
          </w:p>
        </w:tc>
        <w:tc>
          <w:tcPr>
            <w:tcW w:w="2153" w:type="dxa"/>
            <w:gridSpan w:val="2"/>
            <w:tcBorders>
              <w:tl2br w:val="nil"/>
              <w:tr2bl w:val="nil"/>
            </w:tcBorders>
            <w:shd w:val="clear" w:color="auto" w:fill="95B3D7"/>
            <w:vAlign w:val="center"/>
          </w:tcPr>
          <w:p w14:paraId="333AC387"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lang w:bidi="ar"/>
              </w:rPr>
            </w:pPr>
            <w:r w:rsidRPr="00EF4836">
              <w:rPr>
                <w:rFonts w:ascii="仿宋_GB2312" w:eastAsia="仿宋_GB2312" w:hAnsi="仿宋_GB2312" w:cs="仿宋_GB2312" w:hint="eastAsia"/>
                <w:b/>
                <w:color w:val="000000"/>
                <w:kern w:val="0"/>
                <w:sz w:val="20"/>
                <w:szCs w:val="20"/>
                <w:lang w:bidi="ar"/>
              </w:rPr>
              <w:t>隐患分类</w:t>
            </w:r>
          </w:p>
        </w:tc>
        <w:tc>
          <w:tcPr>
            <w:tcW w:w="2861" w:type="dxa"/>
            <w:vMerge w:val="restart"/>
            <w:tcBorders>
              <w:tl2br w:val="nil"/>
              <w:tr2bl w:val="nil"/>
            </w:tcBorders>
            <w:shd w:val="clear" w:color="auto" w:fill="95B3D7"/>
            <w:vAlign w:val="center"/>
          </w:tcPr>
          <w:p w14:paraId="706BE56F"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lang w:bidi="ar"/>
              </w:rPr>
            </w:pPr>
            <w:r w:rsidRPr="00EF4836">
              <w:rPr>
                <w:rFonts w:ascii="仿宋_GB2312" w:eastAsia="仿宋_GB2312" w:hAnsi="仿宋_GB2312" w:cs="仿宋_GB2312" w:hint="eastAsia"/>
                <w:b/>
                <w:color w:val="000000"/>
                <w:kern w:val="0"/>
                <w:sz w:val="20"/>
                <w:szCs w:val="20"/>
                <w:lang w:bidi="ar"/>
              </w:rPr>
              <w:t>自查内容</w:t>
            </w:r>
          </w:p>
        </w:tc>
        <w:tc>
          <w:tcPr>
            <w:tcW w:w="3889" w:type="dxa"/>
            <w:vMerge w:val="restart"/>
            <w:tcBorders>
              <w:tl2br w:val="nil"/>
              <w:tr2bl w:val="nil"/>
            </w:tcBorders>
            <w:shd w:val="clear" w:color="auto" w:fill="95B3D7"/>
            <w:vAlign w:val="center"/>
          </w:tcPr>
          <w:p w14:paraId="764DD9E4"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lang w:bidi="ar"/>
              </w:rPr>
            </w:pPr>
            <w:r w:rsidRPr="00EF4836">
              <w:rPr>
                <w:rFonts w:ascii="仿宋_GB2312" w:eastAsia="仿宋_GB2312" w:hAnsi="仿宋_GB2312" w:cs="仿宋_GB2312" w:hint="eastAsia"/>
                <w:b/>
                <w:color w:val="000000"/>
                <w:kern w:val="0"/>
                <w:sz w:val="20"/>
                <w:szCs w:val="20"/>
                <w:lang w:bidi="ar"/>
              </w:rPr>
              <w:t>自查标准</w:t>
            </w:r>
          </w:p>
        </w:tc>
        <w:tc>
          <w:tcPr>
            <w:tcW w:w="3868" w:type="dxa"/>
            <w:vMerge w:val="restart"/>
            <w:tcBorders>
              <w:tl2br w:val="nil"/>
              <w:tr2bl w:val="nil"/>
            </w:tcBorders>
            <w:shd w:val="clear" w:color="auto" w:fill="95B3D7"/>
            <w:vAlign w:val="center"/>
          </w:tcPr>
          <w:p w14:paraId="23AD08B9"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lang w:bidi="ar"/>
              </w:rPr>
            </w:pPr>
            <w:r w:rsidRPr="00EF4836">
              <w:rPr>
                <w:rFonts w:ascii="仿宋_GB2312" w:eastAsia="仿宋_GB2312" w:hAnsi="仿宋_GB2312" w:cs="仿宋_GB2312" w:hint="eastAsia"/>
                <w:b/>
                <w:color w:val="000000"/>
                <w:kern w:val="0"/>
                <w:sz w:val="20"/>
                <w:szCs w:val="20"/>
                <w:lang w:bidi="ar"/>
              </w:rPr>
              <w:t>自查依据</w:t>
            </w:r>
          </w:p>
        </w:tc>
        <w:tc>
          <w:tcPr>
            <w:tcW w:w="376" w:type="dxa"/>
            <w:vMerge w:val="restart"/>
            <w:tcBorders>
              <w:tl2br w:val="nil"/>
              <w:tr2bl w:val="nil"/>
            </w:tcBorders>
            <w:shd w:val="clear" w:color="auto" w:fill="95B3D7"/>
            <w:vAlign w:val="center"/>
          </w:tcPr>
          <w:p w14:paraId="403475A7"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r w:rsidRPr="00EF4836">
              <w:rPr>
                <w:rFonts w:ascii="仿宋_GB2312" w:eastAsia="仿宋_GB2312" w:hAnsi="黑体" w:cs="宋体" w:hint="eastAsia"/>
                <w:b/>
                <w:kern w:val="0"/>
                <w:sz w:val="20"/>
                <w:szCs w:val="20"/>
              </w:rPr>
              <w:t>备注</w:t>
            </w:r>
          </w:p>
        </w:tc>
      </w:tr>
      <w:tr w:rsidR="00EF4836" w:rsidRPr="00EF4836" w14:paraId="5980074E" w14:textId="77777777" w:rsidTr="008351BE">
        <w:trPr>
          <w:trHeight w:val="346"/>
          <w:tblHeader/>
          <w:jc w:val="center"/>
        </w:trPr>
        <w:tc>
          <w:tcPr>
            <w:tcW w:w="971" w:type="dxa"/>
            <w:vMerge/>
            <w:tcBorders>
              <w:tl2br w:val="nil"/>
              <w:tr2bl w:val="nil"/>
            </w:tcBorders>
            <w:shd w:val="clear" w:color="auto" w:fill="auto"/>
          </w:tcPr>
          <w:p w14:paraId="04073D2C"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c>
          <w:tcPr>
            <w:tcW w:w="1064" w:type="dxa"/>
            <w:tcBorders>
              <w:tl2br w:val="nil"/>
              <w:tr2bl w:val="nil"/>
            </w:tcBorders>
            <w:shd w:val="clear" w:color="auto" w:fill="95B3D7"/>
            <w:vAlign w:val="center"/>
          </w:tcPr>
          <w:p w14:paraId="24C2743D"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lang w:bidi="ar"/>
              </w:rPr>
            </w:pPr>
            <w:r w:rsidRPr="00EF4836">
              <w:rPr>
                <w:rFonts w:ascii="仿宋_GB2312" w:eastAsia="仿宋_GB2312" w:hAnsi="仿宋_GB2312" w:cs="仿宋_GB2312" w:hint="eastAsia"/>
                <w:b/>
                <w:color w:val="000000"/>
                <w:kern w:val="0"/>
                <w:sz w:val="20"/>
                <w:szCs w:val="20"/>
                <w:lang w:bidi="ar"/>
              </w:rPr>
              <w:t>“一类”隐患</w:t>
            </w:r>
          </w:p>
        </w:tc>
        <w:tc>
          <w:tcPr>
            <w:tcW w:w="1089" w:type="dxa"/>
            <w:tcBorders>
              <w:tl2br w:val="nil"/>
              <w:tr2bl w:val="nil"/>
            </w:tcBorders>
            <w:shd w:val="clear" w:color="auto" w:fill="95B3D7"/>
            <w:vAlign w:val="center"/>
          </w:tcPr>
          <w:p w14:paraId="52F204ED"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lang w:bidi="ar"/>
              </w:rPr>
            </w:pPr>
            <w:r w:rsidRPr="00EF4836">
              <w:rPr>
                <w:rFonts w:ascii="仿宋_GB2312" w:eastAsia="仿宋_GB2312" w:hAnsi="仿宋_GB2312" w:cs="仿宋_GB2312" w:hint="eastAsia"/>
                <w:b/>
                <w:color w:val="000000"/>
                <w:kern w:val="0"/>
                <w:sz w:val="20"/>
                <w:szCs w:val="20"/>
                <w:lang w:bidi="ar"/>
              </w:rPr>
              <w:t>“二类”隐患</w:t>
            </w:r>
          </w:p>
        </w:tc>
        <w:tc>
          <w:tcPr>
            <w:tcW w:w="2861" w:type="dxa"/>
            <w:vMerge/>
            <w:tcBorders>
              <w:tl2br w:val="nil"/>
              <w:tr2bl w:val="nil"/>
            </w:tcBorders>
          </w:tcPr>
          <w:p w14:paraId="29B3DDDA"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c>
          <w:tcPr>
            <w:tcW w:w="3889" w:type="dxa"/>
            <w:vMerge/>
            <w:tcBorders>
              <w:tl2br w:val="nil"/>
              <w:tr2bl w:val="nil"/>
            </w:tcBorders>
            <w:vAlign w:val="center"/>
          </w:tcPr>
          <w:p w14:paraId="7452C14B"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c>
          <w:tcPr>
            <w:tcW w:w="3868" w:type="dxa"/>
            <w:vMerge/>
            <w:tcBorders>
              <w:tl2br w:val="nil"/>
              <w:tr2bl w:val="nil"/>
            </w:tcBorders>
          </w:tcPr>
          <w:p w14:paraId="25CE56EE"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c>
          <w:tcPr>
            <w:tcW w:w="376" w:type="dxa"/>
            <w:vMerge/>
            <w:tcBorders>
              <w:tl2br w:val="nil"/>
              <w:tr2bl w:val="nil"/>
            </w:tcBorders>
          </w:tcPr>
          <w:p w14:paraId="77E9A586"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1C8EA0FC" w14:textId="77777777" w:rsidTr="008351BE">
        <w:trPr>
          <w:trHeight w:val="431"/>
          <w:jc w:val="center"/>
        </w:trPr>
        <w:tc>
          <w:tcPr>
            <w:tcW w:w="14118" w:type="dxa"/>
            <w:gridSpan w:val="7"/>
            <w:tcBorders>
              <w:tl2br w:val="nil"/>
              <w:tr2bl w:val="nil"/>
            </w:tcBorders>
            <w:shd w:val="clear" w:color="auto" w:fill="95B3D7"/>
            <w:vAlign w:val="center"/>
          </w:tcPr>
          <w:p w14:paraId="1FA51E78"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r w:rsidRPr="00EF4836">
              <w:rPr>
                <w:rFonts w:ascii="仿宋_GB2312" w:eastAsia="仿宋_GB2312" w:hAnsi="仿宋_GB2312" w:cs="仿宋_GB2312" w:hint="eastAsia"/>
                <w:b/>
                <w:color w:val="000000"/>
                <w:kern w:val="0"/>
                <w:sz w:val="20"/>
                <w:szCs w:val="20"/>
                <w:lang w:bidi="ar"/>
              </w:rPr>
              <w:t>实验室基础管理</w:t>
            </w:r>
          </w:p>
        </w:tc>
      </w:tr>
      <w:tr w:rsidR="00EF4836" w:rsidRPr="00EF4836" w14:paraId="1EC90032" w14:textId="77777777" w:rsidTr="008351BE">
        <w:trPr>
          <w:trHeight w:val="347"/>
          <w:jc w:val="center"/>
        </w:trPr>
        <w:tc>
          <w:tcPr>
            <w:tcW w:w="971" w:type="dxa"/>
            <w:tcBorders>
              <w:tl2br w:val="nil"/>
              <w:tr2bl w:val="nil"/>
            </w:tcBorders>
            <w:vAlign w:val="center"/>
          </w:tcPr>
          <w:p w14:paraId="26C2B0A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15.1.02.001</w:t>
            </w:r>
          </w:p>
        </w:tc>
        <w:tc>
          <w:tcPr>
            <w:tcW w:w="1064" w:type="dxa"/>
            <w:tcBorders>
              <w:tl2br w:val="nil"/>
              <w:tr2bl w:val="nil"/>
            </w:tcBorders>
            <w:vAlign w:val="center"/>
          </w:tcPr>
          <w:p w14:paraId="15FFA6A0"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基础资料类</w:t>
            </w:r>
          </w:p>
        </w:tc>
        <w:tc>
          <w:tcPr>
            <w:tcW w:w="1089" w:type="dxa"/>
            <w:tcBorders>
              <w:tl2br w:val="nil"/>
              <w:tr2bl w:val="nil"/>
            </w:tcBorders>
            <w:vAlign w:val="center"/>
          </w:tcPr>
          <w:p w14:paraId="0BA80532"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机构及人员配备类</w:t>
            </w:r>
          </w:p>
        </w:tc>
        <w:tc>
          <w:tcPr>
            <w:tcW w:w="2861" w:type="dxa"/>
            <w:tcBorders>
              <w:tl2br w:val="nil"/>
              <w:tr2bl w:val="nil"/>
            </w:tcBorders>
            <w:vAlign w:val="center"/>
          </w:tcPr>
          <w:p w14:paraId="47DC041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工业企业和科研单位未按要求设置安全生产管理机构或者配备专职安全生产管理人员。</w:t>
            </w:r>
          </w:p>
          <w:p w14:paraId="5E94BCC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普通高等学校未设立校级领导机构、二级单位未明确分管领导；未指定职能部门负责危险化学品安全管理工作；各实验室未设专职或兼职安全员负责危险化学品的日常管理工作。</w:t>
            </w:r>
          </w:p>
        </w:tc>
        <w:tc>
          <w:tcPr>
            <w:tcW w:w="3889" w:type="dxa"/>
            <w:tcBorders>
              <w:tl2br w:val="nil"/>
              <w:tr2bl w:val="nil"/>
            </w:tcBorders>
            <w:vAlign w:val="center"/>
          </w:tcPr>
          <w:p w14:paraId="0B1B8F9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工业企业和科研单位应明确本单位设有普通高等学校应设立安全生产管理机构或者配备专职安全生产管理人员。</w:t>
            </w:r>
          </w:p>
          <w:p w14:paraId="3B5F5CA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普通高等学校应设立负责实验室危险化学品安全管理的校级领导机构，指定职能部门负责本校危险化学品安全管理工作。涉及使用危险化学品的二级单位，并明确分管领导和安全管理人员，负责本单位实验室危险化学品的安全管理工作。</w:t>
            </w:r>
          </w:p>
          <w:p w14:paraId="54726E9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各实验室设专职或兼职安全员负责危险化学品的日常管理工作。</w:t>
            </w:r>
          </w:p>
        </w:tc>
        <w:tc>
          <w:tcPr>
            <w:tcW w:w="3868" w:type="dxa"/>
            <w:tcBorders>
              <w:tl2br w:val="nil"/>
              <w:tr2bl w:val="nil"/>
            </w:tcBorders>
            <w:vAlign w:val="center"/>
          </w:tcPr>
          <w:p w14:paraId="4509CE0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《中华人民共和国安全生产法》第二十四条；</w:t>
            </w:r>
          </w:p>
          <w:p w14:paraId="2432CD3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《北京市安全生产条例》第十九条；</w:t>
            </w:r>
          </w:p>
          <w:p w14:paraId="4BF6D66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《北京市生产经营单位安全生产主体责任规定》第十一条；</w:t>
            </w:r>
          </w:p>
          <w:p w14:paraId="578BDBB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1191.1-2025）第4.2.3条；</w:t>
            </w:r>
          </w:p>
          <w:p w14:paraId="2B792BC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1191.2-2025）第4.1条；</w:t>
            </w:r>
          </w:p>
          <w:p w14:paraId="6291A73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1191.3-2024）第4.2.1条</w:t>
            </w:r>
          </w:p>
        </w:tc>
        <w:tc>
          <w:tcPr>
            <w:tcW w:w="376" w:type="dxa"/>
            <w:tcBorders>
              <w:tl2br w:val="nil"/>
              <w:tr2bl w:val="nil"/>
            </w:tcBorders>
          </w:tcPr>
          <w:p w14:paraId="08C8EA16" w14:textId="77777777" w:rsidR="00EF4836" w:rsidRPr="00EF4836" w:rsidRDefault="00EF4836" w:rsidP="008351BE">
            <w:pPr>
              <w:widowControl/>
              <w:adjustRightInd w:val="0"/>
              <w:snapToGrid w:val="0"/>
              <w:jc w:val="center"/>
              <w:rPr>
                <w:rFonts w:ascii="仿宋_GB2312" w:eastAsia="仿宋_GB2312" w:hAnsi="仿宋_GB2312" w:cs="仿宋_GB2312" w:hint="eastAsia"/>
                <w:b/>
                <w:kern w:val="0"/>
                <w:sz w:val="20"/>
                <w:szCs w:val="20"/>
              </w:rPr>
            </w:pPr>
          </w:p>
        </w:tc>
      </w:tr>
      <w:tr w:rsidR="00EF4836" w:rsidRPr="00EF4836" w14:paraId="289523A3" w14:textId="77777777" w:rsidTr="008351BE">
        <w:trPr>
          <w:trHeight w:val="347"/>
          <w:jc w:val="center"/>
        </w:trPr>
        <w:tc>
          <w:tcPr>
            <w:tcW w:w="971" w:type="dxa"/>
            <w:tcBorders>
              <w:tl2br w:val="nil"/>
              <w:tr2bl w:val="nil"/>
            </w:tcBorders>
            <w:vAlign w:val="center"/>
          </w:tcPr>
          <w:p w14:paraId="20194C77"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15.1.02.002</w:t>
            </w:r>
          </w:p>
        </w:tc>
        <w:tc>
          <w:tcPr>
            <w:tcW w:w="1064" w:type="dxa"/>
            <w:tcBorders>
              <w:tl2br w:val="nil"/>
              <w:tr2bl w:val="nil"/>
            </w:tcBorders>
            <w:vAlign w:val="center"/>
          </w:tcPr>
          <w:p w14:paraId="059743F5"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基础资料类</w:t>
            </w:r>
          </w:p>
        </w:tc>
        <w:tc>
          <w:tcPr>
            <w:tcW w:w="1089" w:type="dxa"/>
            <w:tcBorders>
              <w:tl2br w:val="nil"/>
              <w:tr2bl w:val="nil"/>
            </w:tcBorders>
            <w:vAlign w:val="center"/>
          </w:tcPr>
          <w:p w14:paraId="1716AF80"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机构及人员配备类</w:t>
            </w:r>
          </w:p>
        </w:tc>
        <w:tc>
          <w:tcPr>
            <w:tcW w:w="2861" w:type="dxa"/>
            <w:tcBorders>
              <w:tl2br w:val="nil"/>
              <w:tr2bl w:val="nil"/>
            </w:tcBorders>
            <w:vAlign w:val="center"/>
          </w:tcPr>
          <w:p w14:paraId="5C577C6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专/兼职安全员未掌握危险化学品安全知识技能。</w:t>
            </w:r>
          </w:p>
          <w:p w14:paraId="234BFFB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科研实验开展前，未成立实验项目小组，未指定实验项目负责人和负责安全管理的人员。</w:t>
            </w:r>
          </w:p>
        </w:tc>
        <w:tc>
          <w:tcPr>
            <w:tcW w:w="3889" w:type="dxa"/>
            <w:tcBorders>
              <w:tl2br w:val="nil"/>
              <w:tr2bl w:val="nil"/>
            </w:tcBorders>
            <w:vAlign w:val="center"/>
          </w:tcPr>
          <w:p w14:paraId="359CEA5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专/兼职安全员应掌握危险化学品安全知识技能。</w:t>
            </w:r>
          </w:p>
          <w:p w14:paraId="5FD6D88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科研实验开展前，应成立实验项目小组，并指定实验项目负责人和负责安全管理的人员。</w:t>
            </w:r>
          </w:p>
        </w:tc>
        <w:tc>
          <w:tcPr>
            <w:tcW w:w="3868" w:type="dxa"/>
            <w:tcBorders>
              <w:tl2br w:val="nil"/>
              <w:tr2bl w:val="nil"/>
            </w:tcBorders>
            <w:vAlign w:val="center"/>
          </w:tcPr>
          <w:p w14:paraId="503EAE5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1191.1-2025）第4.2.1条；</w:t>
            </w:r>
          </w:p>
          <w:p w14:paraId="0FB2B83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w:t>
            </w:r>
            <w:r w:rsidRPr="00EF4836">
              <w:rPr>
                <w:rFonts w:ascii="仿宋_GB2312" w:eastAsia="仿宋_GB2312" w:hAnsi="仿宋_GB2312" w:cs="仿宋_GB2312" w:hint="eastAsia"/>
                <w:color w:val="000000"/>
                <w:sz w:val="20"/>
                <w:szCs w:val="20"/>
              </w:rPr>
              <w:lastRenderedPageBreak/>
              <w:t>第4.3.1条；</w:t>
            </w:r>
          </w:p>
          <w:p w14:paraId="5650E3F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1191.3-2024）第8.1.3条</w:t>
            </w:r>
          </w:p>
        </w:tc>
        <w:tc>
          <w:tcPr>
            <w:tcW w:w="376" w:type="dxa"/>
            <w:tcBorders>
              <w:tl2br w:val="nil"/>
              <w:tr2bl w:val="nil"/>
            </w:tcBorders>
            <w:vAlign w:val="center"/>
          </w:tcPr>
          <w:p w14:paraId="7845CB4C" w14:textId="77777777" w:rsidR="00EF4836" w:rsidRPr="00EF4836" w:rsidRDefault="00EF4836" w:rsidP="008351BE">
            <w:pPr>
              <w:widowControl/>
              <w:adjustRightInd w:val="0"/>
              <w:snapToGrid w:val="0"/>
              <w:jc w:val="center"/>
              <w:rPr>
                <w:rFonts w:ascii="仿宋_GB2312" w:eastAsia="仿宋_GB2312" w:hAnsi="仿宋_GB2312" w:cs="仿宋_GB2312" w:hint="eastAsia"/>
                <w:b/>
                <w:kern w:val="0"/>
                <w:sz w:val="20"/>
                <w:szCs w:val="20"/>
              </w:rPr>
            </w:pPr>
          </w:p>
        </w:tc>
      </w:tr>
      <w:tr w:rsidR="00EF4836" w:rsidRPr="00EF4836" w14:paraId="35D8BCB3" w14:textId="77777777" w:rsidTr="008351BE">
        <w:trPr>
          <w:trHeight w:val="347"/>
          <w:jc w:val="center"/>
        </w:trPr>
        <w:tc>
          <w:tcPr>
            <w:tcW w:w="971" w:type="dxa"/>
            <w:tcBorders>
              <w:tl2br w:val="nil"/>
              <w:tr2bl w:val="nil"/>
            </w:tcBorders>
            <w:vAlign w:val="center"/>
          </w:tcPr>
          <w:p w14:paraId="7C84F5F5"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15.1.03.003</w:t>
            </w:r>
          </w:p>
        </w:tc>
        <w:tc>
          <w:tcPr>
            <w:tcW w:w="1064" w:type="dxa"/>
            <w:tcBorders>
              <w:tl2br w:val="nil"/>
              <w:tr2bl w:val="nil"/>
            </w:tcBorders>
            <w:vAlign w:val="center"/>
          </w:tcPr>
          <w:p w14:paraId="13DCBEB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基础资料类</w:t>
            </w:r>
          </w:p>
        </w:tc>
        <w:tc>
          <w:tcPr>
            <w:tcW w:w="1089" w:type="dxa"/>
            <w:tcBorders>
              <w:tl2br w:val="nil"/>
              <w:tr2bl w:val="nil"/>
            </w:tcBorders>
            <w:vAlign w:val="center"/>
          </w:tcPr>
          <w:p w14:paraId="168DAFD4"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责任制类</w:t>
            </w:r>
          </w:p>
        </w:tc>
        <w:tc>
          <w:tcPr>
            <w:tcW w:w="2861" w:type="dxa"/>
            <w:tcBorders>
              <w:tl2br w:val="nil"/>
              <w:tr2bl w:val="nil"/>
            </w:tcBorders>
            <w:vAlign w:val="center"/>
          </w:tcPr>
          <w:p w14:paraId="549F0BB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工业企业实验室未制定全员安全生产责任制；</w:t>
            </w:r>
          </w:p>
          <w:p w14:paraId="7491520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普通高等学校未建立健全并落实学校、二级单位和实验室（实训场所）安全管理三级责任体系。</w:t>
            </w:r>
          </w:p>
        </w:tc>
        <w:tc>
          <w:tcPr>
            <w:tcW w:w="3889" w:type="dxa"/>
            <w:tcBorders>
              <w:tl2br w:val="nil"/>
              <w:tr2bl w:val="nil"/>
            </w:tcBorders>
            <w:vAlign w:val="center"/>
          </w:tcPr>
          <w:p w14:paraId="0605D67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实验室主体责任单位应制定岗位安全责任制；</w:t>
            </w:r>
          </w:p>
          <w:p w14:paraId="2901D5A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未建立与岗位相匹配的全员安全生产责任制或者未制定实施生产安全事故隐患排查治理制度。</w:t>
            </w:r>
          </w:p>
        </w:tc>
        <w:tc>
          <w:tcPr>
            <w:tcW w:w="3868" w:type="dxa"/>
            <w:tcBorders>
              <w:tl2br w:val="nil"/>
              <w:tr2bl w:val="nil"/>
            </w:tcBorders>
            <w:vAlign w:val="center"/>
          </w:tcPr>
          <w:p w14:paraId="466EE8A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1191.1-2025）第4.1.2条；第4.1条；</w:t>
            </w:r>
          </w:p>
          <w:p w14:paraId="27E0E96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《化工和危险化学品企业重大生产安全事故隐患判定准则（征求意见稿）》第5.7.6条；</w:t>
            </w:r>
          </w:p>
          <w:p w14:paraId="7A65C80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1191.2-2025）第4.2.1条；</w:t>
            </w:r>
          </w:p>
          <w:p w14:paraId="2DB7078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《教育系统重大事故隐患判定指南》第六条（一）；</w:t>
            </w:r>
          </w:p>
          <w:p w14:paraId="61A8002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1191.3-2024）第4.1.1条</w:t>
            </w:r>
          </w:p>
        </w:tc>
        <w:tc>
          <w:tcPr>
            <w:tcW w:w="376" w:type="dxa"/>
            <w:tcBorders>
              <w:tl2br w:val="nil"/>
              <w:tr2bl w:val="nil"/>
            </w:tcBorders>
            <w:vAlign w:val="center"/>
          </w:tcPr>
          <w:p w14:paraId="051A0680" w14:textId="77777777" w:rsidR="00EF4836" w:rsidRPr="00EF4836" w:rsidRDefault="00EF4836" w:rsidP="008351BE">
            <w:pPr>
              <w:widowControl/>
              <w:adjustRightInd w:val="0"/>
              <w:snapToGrid w:val="0"/>
              <w:rPr>
                <w:rFonts w:ascii="仿宋_GB2312" w:eastAsia="仿宋_GB2312" w:hAnsi="仿宋_GB2312" w:cs="仿宋_GB2312" w:hint="eastAsia"/>
                <w:b/>
                <w:color w:val="000000"/>
                <w:kern w:val="0"/>
                <w:sz w:val="20"/>
                <w:szCs w:val="20"/>
              </w:rPr>
            </w:pPr>
            <w:r w:rsidRPr="00EF4836">
              <w:rPr>
                <w:rFonts w:ascii="仿宋_GB2312" w:eastAsia="仿宋_GB2312" w:hAnsi="仿宋_GB2312" w:cs="仿宋_GB2312" w:hint="eastAsia"/>
                <w:b/>
                <w:color w:val="000000"/>
                <w:kern w:val="0"/>
                <w:sz w:val="20"/>
                <w:szCs w:val="20"/>
              </w:rPr>
              <w:t>★1；★2</w:t>
            </w:r>
          </w:p>
          <w:p w14:paraId="5278106D" w14:textId="77777777" w:rsidR="00EF4836" w:rsidRPr="00EF4836" w:rsidRDefault="00EF4836" w:rsidP="008351BE">
            <w:pPr>
              <w:pStyle w:val="2"/>
              <w:adjustRightInd w:val="0"/>
              <w:snapToGrid w:val="0"/>
              <w:ind w:leftChars="0" w:left="0" w:firstLine="400"/>
              <w:rPr>
                <w:rFonts w:ascii="仿宋_GB2312" w:eastAsia="仿宋_GB2312" w:hAnsi="仿宋_GB2312" w:cs="仿宋_GB2312" w:hint="eastAsia"/>
                <w:sz w:val="20"/>
                <w:szCs w:val="20"/>
              </w:rPr>
            </w:pPr>
          </w:p>
          <w:p w14:paraId="631AFAB7" w14:textId="77777777" w:rsidR="00EF4836" w:rsidRPr="00EF4836" w:rsidRDefault="00EF4836" w:rsidP="008351BE">
            <w:pPr>
              <w:pStyle w:val="2"/>
              <w:adjustRightInd w:val="0"/>
              <w:snapToGrid w:val="0"/>
              <w:ind w:leftChars="0" w:left="0" w:firstLine="400"/>
              <w:rPr>
                <w:rFonts w:ascii="仿宋_GB2312" w:eastAsia="仿宋_GB2312" w:hAnsi="仿宋_GB2312" w:cs="仿宋_GB2312" w:hint="eastAsia"/>
                <w:sz w:val="20"/>
                <w:szCs w:val="20"/>
              </w:rPr>
            </w:pPr>
            <w:r w:rsidRPr="00EF4836">
              <w:rPr>
                <w:rFonts w:ascii="仿宋_GB2312" w:eastAsia="仿宋_GB2312" w:hAnsi="仿宋_GB2312" w:cs="仿宋_GB2312" w:hint="eastAsia"/>
                <w:sz w:val="20"/>
                <w:szCs w:val="20"/>
              </w:rPr>
              <w:t>★</w:t>
            </w:r>
          </w:p>
          <w:p w14:paraId="1D112582" w14:textId="77777777" w:rsidR="00EF4836" w:rsidRPr="00EF4836" w:rsidRDefault="00EF4836" w:rsidP="008351BE">
            <w:pPr>
              <w:widowControl/>
              <w:adjustRightInd w:val="0"/>
              <w:snapToGrid w:val="0"/>
              <w:jc w:val="center"/>
              <w:rPr>
                <w:rFonts w:ascii="仿宋_GB2312" w:eastAsia="仿宋_GB2312" w:hAnsi="仿宋_GB2312" w:cs="仿宋_GB2312" w:hint="eastAsia"/>
                <w:b/>
                <w:kern w:val="0"/>
                <w:sz w:val="20"/>
                <w:szCs w:val="20"/>
              </w:rPr>
            </w:pPr>
          </w:p>
        </w:tc>
      </w:tr>
      <w:tr w:rsidR="00EF4836" w:rsidRPr="00EF4836" w14:paraId="26572130" w14:textId="77777777" w:rsidTr="008351BE">
        <w:trPr>
          <w:trHeight w:val="347"/>
          <w:jc w:val="center"/>
        </w:trPr>
        <w:tc>
          <w:tcPr>
            <w:tcW w:w="971" w:type="dxa"/>
            <w:tcBorders>
              <w:tl2br w:val="nil"/>
              <w:tr2bl w:val="nil"/>
            </w:tcBorders>
            <w:vAlign w:val="center"/>
          </w:tcPr>
          <w:p w14:paraId="56CBFC03"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15.1.04.004</w:t>
            </w:r>
          </w:p>
        </w:tc>
        <w:tc>
          <w:tcPr>
            <w:tcW w:w="1064" w:type="dxa"/>
            <w:tcBorders>
              <w:tl2br w:val="nil"/>
              <w:tr2bl w:val="nil"/>
            </w:tcBorders>
            <w:vAlign w:val="center"/>
          </w:tcPr>
          <w:p w14:paraId="6A8FE8E3"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基础资料类</w:t>
            </w:r>
          </w:p>
        </w:tc>
        <w:tc>
          <w:tcPr>
            <w:tcW w:w="1089" w:type="dxa"/>
            <w:tcBorders>
              <w:tl2br w:val="nil"/>
              <w:tr2bl w:val="nil"/>
            </w:tcBorders>
            <w:vAlign w:val="center"/>
          </w:tcPr>
          <w:p w14:paraId="2DE6389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制度类</w:t>
            </w:r>
          </w:p>
        </w:tc>
        <w:tc>
          <w:tcPr>
            <w:tcW w:w="2861" w:type="dxa"/>
            <w:tcBorders>
              <w:tl2br w:val="nil"/>
              <w:tr2bl w:val="nil"/>
            </w:tcBorders>
            <w:vAlign w:val="center"/>
          </w:tcPr>
          <w:p w14:paraId="7415B07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未制定实验室安全管理制度。</w:t>
            </w:r>
          </w:p>
          <w:p w14:paraId="7F1F236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工业企业实验室未制定事故隐患排查治理制度。</w:t>
            </w:r>
          </w:p>
        </w:tc>
        <w:tc>
          <w:tcPr>
            <w:tcW w:w="3889" w:type="dxa"/>
            <w:tcBorders>
              <w:tl2br w:val="nil"/>
              <w:tr2bl w:val="nil"/>
            </w:tcBorders>
            <w:vAlign w:val="center"/>
          </w:tcPr>
          <w:p w14:paraId="689F5CA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主体责任单位应制定岗位安全责任制、实验室危险化学品采购、储存、使用和废弃管理制度、重大较大风险实验设备管理制度、安全设施管理制度、气瓶和气体管线安全管理；爆炸品、剧毒化学品特殊管理;安全培训及准入制度、危险化学品风险评估分级管控和事故隐患排查治理制度；个体防护装备、消防器材配备和使用制度；涉及小试、中试、扩大化试验的试验项目，应制</w:t>
            </w:r>
            <w:proofErr w:type="gramStart"/>
            <w:r w:rsidRPr="00EF4836">
              <w:rPr>
                <w:rFonts w:ascii="仿宋_GB2312" w:eastAsia="仿宋_GB2312" w:hAnsi="仿宋_GB2312" w:cs="仿宋_GB2312" w:hint="eastAsia"/>
                <w:color w:val="000000"/>
                <w:sz w:val="20"/>
                <w:szCs w:val="20"/>
              </w:rPr>
              <w:t>定试验</w:t>
            </w:r>
            <w:proofErr w:type="gramEnd"/>
            <w:r w:rsidRPr="00EF4836">
              <w:rPr>
                <w:rFonts w:ascii="仿宋_GB2312" w:eastAsia="仿宋_GB2312" w:hAnsi="仿宋_GB2312" w:cs="仿宋_GB2312" w:hint="eastAsia"/>
                <w:color w:val="000000"/>
                <w:sz w:val="20"/>
                <w:szCs w:val="20"/>
              </w:rPr>
              <w:t>管理制度。</w:t>
            </w:r>
          </w:p>
          <w:p w14:paraId="44B31C5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未制定实施生产安全事故隐患排查治理制度。</w:t>
            </w:r>
          </w:p>
        </w:tc>
        <w:tc>
          <w:tcPr>
            <w:tcW w:w="3868" w:type="dxa"/>
            <w:tcBorders>
              <w:tl2br w:val="nil"/>
              <w:tr2bl w:val="nil"/>
            </w:tcBorders>
            <w:vAlign w:val="center"/>
          </w:tcPr>
          <w:p w14:paraId="2653C22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《实验室危险化学品安全管理要求 第1部分：工业企业》（DB11/T 1191.1-2025）第4.1条；</w:t>
            </w:r>
          </w:p>
          <w:p w14:paraId="764C05A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《化工和危险化学品企业重大生产安全事故隐患判定准则（征求意见稿）》第5.7.6条；</w:t>
            </w:r>
          </w:p>
          <w:p w14:paraId="5D815C9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1191.2-2025）第4.2.1条；</w:t>
            </w:r>
          </w:p>
          <w:p w14:paraId="46CACC9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w:t>
            </w:r>
            <w:r w:rsidRPr="00EF4836">
              <w:rPr>
                <w:rFonts w:ascii="仿宋_GB2312" w:eastAsia="仿宋_GB2312" w:hAnsi="仿宋_GB2312" w:cs="仿宋_GB2312" w:hint="eastAsia"/>
                <w:color w:val="000000"/>
                <w:sz w:val="20"/>
                <w:szCs w:val="20"/>
              </w:rPr>
              <w:lastRenderedPageBreak/>
              <w:t>分：科研单位》（DB11/T 1191.3-2024）第4.1.1、4.1.2、4.1.3条</w:t>
            </w:r>
          </w:p>
        </w:tc>
        <w:tc>
          <w:tcPr>
            <w:tcW w:w="376" w:type="dxa"/>
            <w:tcBorders>
              <w:tl2br w:val="nil"/>
              <w:tr2bl w:val="nil"/>
            </w:tcBorders>
            <w:vAlign w:val="center"/>
          </w:tcPr>
          <w:p w14:paraId="6D16FF90" w14:textId="77777777" w:rsidR="00EF4836" w:rsidRPr="00EF4836" w:rsidRDefault="00EF4836" w:rsidP="008351BE">
            <w:pPr>
              <w:widowControl/>
              <w:adjustRightInd w:val="0"/>
              <w:snapToGrid w:val="0"/>
              <w:rPr>
                <w:rFonts w:ascii="仿宋_GB2312" w:eastAsia="仿宋_GB2312" w:hAnsi="仿宋_GB2312" w:cs="仿宋_GB2312" w:hint="eastAsia"/>
                <w:b/>
                <w:color w:val="000000"/>
                <w:kern w:val="0"/>
                <w:sz w:val="20"/>
                <w:szCs w:val="20"/>
              </w:rPr>
            </w:pPr>
            <w:r w:rsidRPr="00EF4836">
              <w:rPr>
                <w:rFonts w:ascii="仿宋_GB2312" w:eastAsia="仿宋_GB2312" w:hAnsi="仿宋_GB2312" w:cs="仿宋_GB2312" w:hint="eastAsia"/>
                <w:b/>
                <w:color w:val="000000"/>
                <w:kern w:val="0"/>
                <w:sz w:val="20"/>
                <w:szCs w:val="20"/>
              </w:rPr>
              <w:lastRenderedPageBreak/>
              <w:t>★1</w:t>
            </w:r>
          </w:p>
        </w:tc>
      </w:tr>
      <w:tr w:rsidR="00EF4836" w:rsidRPr="00EF4836" w14:paraId="48C76D34" w14:textId="77777777" w:rsidTr="008351BE">
        <w:trPr>
          <w:trHeight w:val="347"/>
          <w:jc w:val="center"/>
        </w:trPr>
        <w:tc>
          <w:tcPr>
            <w:tcW w:w="971" w:type="dxa"/>
            <w:tcBorders>
              <w:tl2br w:val="nil"/>
              <w:tr2bl w:val="nil"/>
            </w:tcBorders>
            <w:vAlign w:val="center"/>
          </w:tcPr>
          <w:p w14:paraId="77A0FB3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15.1.05.005</w:t>
            </w:r>
          </w:p>
        </w:tc>
        <w:tc>
          <w:tcPr>
            <w:tcW w:w="1064" w:type="dxa"/>
            <w:tcBorders>
              <w:tl2br w:val="nil"/>
              <w:tr2bl w:val="nil"/>
            </w:tcBorders>
            <w:vAlign w:val="center"/>
          </w:tcPr>
          <w:p w14:paraId="75D333F7"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基础资料类</w:t>
            </w:r>
          </w:p>
        </w:tc>
        <w:tc>
          <w:tcPr>
            <w:tcW w:w="1089" w:type="dxa"/>
            <w:tcBorders>
              <w:tl2br w:val="nil"/>
              <w:tr2bl w:val="nil"/>
            </w:tcBorders>
            <w:vAlign w:val="center"/>
          </w:tcPr>
          <w:p w14:paraId="427D7EA5"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操作规程类</w:t>
            </w:r>
          </w:p>
        </w:tc>
        <w:tc>
          <w:tcPr>
            <w:tcW w:w="2861" w:type="dxa"/>
            <w:tcBorders>
              <w:tl2br w:val="nil"/>
              <w:tr2bl w:val="nil"/>
            </w:tcBorders>
            <w:vAlign w:val="center"/>
          </w:tcPr>
          <w:p w14:paraId="637059C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未制定相关实验和实验设备安全操作规程；</w:t>
            </w:r>
          </w:p>
          <w:p w14:paraId="68311F5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危险化学品企业实验室操作规程不符合“七要素”要求的操作规程。其他实验室操作规程不符合除“作业环境”外的六要素。</w:t>
            </w:r>
          </w:p>
        </w:tc>
        <w:tc>
          <w:tcPr>
            <w:tcW w:w="3889" w:type="dxa"/>
            <w:tcBorders>
              <w:tl2br w:val="nil"/>
              <w:tr2bl w:val="nil"/>
            </w:tcBorders>
            <w:vAlign w:val="center"/>
          </w:tcPr>
          <w:p w14:paraId="3F8BB2E8" w14:textId="77777777" w:rsidR="00EF4836" w:rsidRPr="00EF4836" w:rsidRDefault="00EF4836" w:rsidP="00F346F1">
            <w:pPr>
              <w:autoSpaceDE w:val="0"/>
              <w:autoSpaceDN w:val="0"/>
              <w:adjustRightInd w:val="0"/>
              <w:snapToGrid w:val="0"/>
              <w:jc w:val="left"/>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应制定实验和实验设备安全操作规程：a） 涉及危险工艺的实验；b） 涉及易燃易爆物质的实验；c） 涉及有毒有害物质的实验；d） 涉及气瓶、气体管路。</w:t>
            </w:r>
          </w:p>
          <w:p w14:paraId="6D5B3C8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安全操作规程应包括但不限于以下7项要素：a） 适用范围；b） 安全操作要求；c） 岗位存在的危险有害因素；d） 作业环境；e） 作业防护要求；f） 禁止事项；g） 紧急情况现场处置措施，并严格落实。</w:t>
            </w:r>
          </w:p>
          <w:p w14:paraId="602D12F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未制定操作规程和工艺控制指标。</w:t>
            </w:r>
          </w:p>
        </w:tc>
        <w:tc>
          <w:tcPr>
            <w:tcW w:w="3868" w:type="dxa"/>
            <w:tcBorders>
              <w:tl2br w:val="nil"/>
              <w:tr2bl w:val="nil"/>
            </w:tcBorders>
            <w:vAlign w:val="center"/>
          </w:tcPr>
          <w:p w14:paraId="3C3DF33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《中华人民共和国安全生产法》第二十一条；</w:t>
            </w:r>
          </w:p>
          <w:p w14:paraId="2FA92CA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《北京市生产经营单位安全生产主体责任规定》第八条；</w:t>
            </w:r>
          </w:p>
          <w:p w14:paraId="0822ACB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《危险化学品企业安全操作规程编制要求》（DB11/T 2332-2024）第5.1.6.1条；</w:t>
            </w:r>
          </w:p>
          <w:p w14:paraId="35484B6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《安全生产等级评定技术规范 第2部分：安全生产通用要求》（DB11/T 1322.2-2017）第3.1.3.2条；</w:t>
            </w:r>
          </w:p>
          <w:p w14:paraId="3181C2B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《化工和危险化学品企业重大生产安全事故隐患判定准则（征求意见稿）》第5.5.2条；</w:t>
            </w:r>
          </w:p>
          <w:p w14:paraId="5A1738C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1191.1-2025）第4.1.2条；</w:t>
            </w:r>
          </w:p>
          <w:p w14:paraId="47E9E56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1191.2-2025）第4.2.3条;</w:t>
            </w:r>
          </w:p>
          <w:p w14:paraId="7312D30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1191.3-2024）第4.3.1条</w:t>
            </w:r>
          </w:p>
        </w:tc>
        <w:tc>
          <w:tcPr>
            <w:tcW w:w="376" w:type="dxa"/>
            <w:tcBorders>
              <w:tl2br w:val="nil"/>
              <w:tr2bl w:val="nil"/>
            </w:tcBorders>
            <w:vAlign w:val="center"/>
          </w:tcPr>
          <w:p w14:paraId="34374E66" w14:textId="77777777" w:rsidR="00EF4836" w:rsidRPr="00EF4836" w:rsidRDefault="00EF4836" w:rsidP="008351BE">
            <w:pPr>
              <w:widowControl/>
              <w:adjustRightInd w:val="0"/>
              <w:snapToGrid w:val="0"/>
              <w:rPr>
                <w:rFonts w:ascii="仿宋_GB2312" w:eastAsia="仿宋_GB2312" w:hAnsi="仿宋_GB2312" w:cs="仿宋_GB2312" w:hint="eastAsia"/>
                <w:b/>
                <w:color w:val="000000"/>
                <w:kern w:val="0"/>
                <w:sz w:val="20"/>
                <w:szCs w:val="20"/>
              </w:rPr>
            </w:pPr>
            <w:r w:rsidRPr="00EF4836">
              <w:rPr>
                <w:rFonts w:ascii="仿宋_GB2312" w:eastAsia="仿宋_GB2312" w:hAnsi="仿宋_GB2312" w:cs="仿宋_GB2312" w:hint="eastAsia"/>
                <w:b/>
                <w:color w:val="000000"/>
                <w:kern w:val="0"/>
                <w:sz w:val="20"/>
                <w:szCs w:val="20"/>
              </w:rPr>
              <w:t>★1</w:t>
            </w:r>
          </w:p>
        </w:tc>
      </w:tr>
      <w:tr w:rsidR="00EF4836" w:rsidRPr="00EF4836" w14:paraId="74E1E630" w14:textId="77777777" w:rsidTr="008351BE">
        <w:trPr>
          <w:trHeight w:val="347"/>
          <w:jc w:val="center"/>
        </w:trPr>
        <w:tc>
          <w:tcPr>
            <w:tcW w:w="971" w:type="dxa"/>
            <w:tcBorders>
              <w:tl2br w:val="nil"/>
              <w:tr2bl w:val="nil"/>
            </w:tcBorders>
            <w:vAlign w:val="center"/>
          </w:tcPr>
          <w:p w14:paraId="25B54F0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15.4.03.006</w:t>
            </w:r>
          </w:p>
        </w:tc>
        <w:tc>
          <w:tcPr>
            <w:tcW w:w="1064" w:type="dxa"/>
            <w:tcBorders>
              <w:tl2br w:val="nil"/>
              <w:tr2bl w:val="nil"/>
            </w:tcBorders>
            <w:vAlign w:val="center"/>
          </w:tcPr>
          <w:p w14:paraId="37A602B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76C3A070"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标志及标识类</w:t>
            </w:r>
          </w:p>
        </w:tc>
        <w:tc>
          <w:tcPr>
            <w:tcW w:w="2861" w:type="dxa"/>
            <w:tcBorders>
              <w:tl2br w:val="nil"/>
              <w:tr2bl w:val="nil"/>
            </w:tcBorders>
            <w:vAlign w:val="center"/>
          </w:tcPr>
          <w:p w14:paraId="49EEE71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在实验室、危险化学品储存场所门口外未张贴或悬挂责任牌。</w:t>
            </w:r>
          </w:p>
        </w:tc>
        <w:tc>
          <w:tcPr>
            <w:tcW w:w="3889" w:type="dxa"/>
            <w:tcBorders>
              <w:tl2br w:val="nil"/>
              <w:tr2bl w:val="nil"/>
            </w:tcBorders>
            <w:vAlign w:val="center"/>
          </w:tcPr>
          <w:p w14:paraId="6D2447A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在实验室、危险化学品储存场所门口外张贴或悬挂责任牌，明确责任人和联系电话。</w:t>
            </w:r>
          </w:p>
        </w:tc>
        <w:tc>
          <w:tcPr>
            <w:tcW w:w="3868" w:type="dxa"/>
            <w:tcBorders>
              <w:tl2br w:val="nil"/>
              <w:tr2bl w:val="nil"/>
            </w:tcBorders>
            <w:vAlign w:val="center"/>
          </w:tcPr>
          <w:p w14:paraId="23DEAE6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1191.1-2025）第4.2.3条；</w:t>
            </w:r>
          </w:p>
          <w:p w14:paraId="30D4CD3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w:t>
            </w:r>
            <w:r w:rsidRPr="00EF4836">
              <w:rPr>
                <w:rFonts w:ascii="仿宋_GB2312" w:eastAsia="仿宋_GB2312" w:hAnsi="仿宋_GB2312" w:cs="仿宋_GB2312" w:hint="eastAsia"/>
                <w:color w:val="000000"/>
                <w:sz w:val="20"/>
                <w:szCs w:val="20"/>
              </w:rPr>
              <w:lastRenderedPageBreak/>
              <w:t>第4.1条；</w:t>
            </w:r>
          </w:p>
          <w:p w14:paraId="6ED20BE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1191.3-2024）第4.2.1条</w:t>
            </w:r>
          </w:p>
        </w:tc>
        <w:tc>
          <w:tcPr>
            <w:tcW w:w="376" w:type="dxa"/>
            <w:tcBorders>
              <w:tl2br w:val="nil"/>
              <w:tr2bl w:val="nil"/>
            </w:tcBorders>
          </w:tcPr>
          <w:p w14:paraId="0B20657B" w14:textId="77777777" w:rsidR="00EF4836" w:rsidRPr="00EF4836" w:rsidRDefault="00EF4836" w:rsidP="008351BE">
            <w:pPr>
              <w:widowControl/>
              <w:adjustRightInd w:val="0"/>
              <w:snapToGrid w:val="0"/>
              <w:jc w:val="center"/>
              <w:rPr>
                <w:rFonts w:ascii="仿宋_GB2312" w:eastAsia="仿宋_GB2312" w:hAnsi="仿宋_GB2312" w:cs="仿宋_GB2312" w:hint="eastAsia"/>
                <w:b/>
                <w:kern w:val="0"/>
                <w:sz w:val="20"/>
                <w:szCs w:val="20"/>
              </w:rPr>
            </w:pPr>
          </w:p>
        </w:tc>
      </w:tr>
      <w:tr w:rsidR="00EF4836" w:rsidRPr="00EF4836" w14:paraId="06A829DD" w14:textId="77777777" w:rsidTr="008351BE">
        <w:trPr>
          <w:trHeight w:val="347"/>
          <w:jc w:val="center"/>
        </w:trPr>
        <w:tc>
          <w:tcPr>
            <w:tcW w:w="971" w:type="dxa"/>
            <w:tcBorders>
              <w:tl2br w:val="nil"/>
              <w:tr2bl w:val="nil"/>
            </w:tcBorders>
            <w:vAlign w:val="center"/>
          </w:tcPr>
          <w:p w14:paraId="1948BCB8"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15.4.03.007</w:t>
            </w:r>
          </w:p>
        </w:tc>
        <w:tc>
          <w:tcPr>
            <w:tcW w:w="1064" w:type="dxa"/>
            <w:tcBorders>
              <w:tl2br w:val="nil"/>
              <w:tr2bl w:val="nil"/>
            </w:tcBorders>
            <w:vAlign w:val="center"/>
          </w:tcPr>
          <w:p w14:paraId="167CAD4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4810F6E7"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标志及标识类</w:t>
            </w:r>
          </w:p>
        </w:tc>
        <w:tc>
          <w:tcPr>
            <w:tcW w:w="2861" w:type="dxa"/>
            <w:tcBorders>
              <w:tl2br w:val="nil"/>
              <w:tr2bl w:val="nil"/>
            </w:tcBorders>
            <w:vAlign w:val="center"/>
          </w:tcPr>
          <w:p w14:paraId="4DDCE1E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普通高等学校涉及使用危险化学品的实验设备，连续运转大于24小时的，未在实验室门外显著位置张贴告知牌。</w:t>
            </w:r>
          </w:p>
        </w:tc>
        <w:tc>
          <w:tcPr>
            <w:tcW w:w="3889" w:type="dxa"/>
            <w:tcBorders>
              <w:tl2br w:val="nil"/>
              <w:tr2bl w:val="nil"/>
            </w:tcBorders>
            <w:vAlign w:val="center"/>
          </w:tcPr>
          <w:p w14:paraId="2DD2F03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涉及使用危险化学品的实验设备，连续运转大于24小时的，宜在实验室门外显著位置张贴告知牌，至少包括以下内容：a）实验设备及实验名称;b）实验人员及联系方式;c）实验开始及结束时间;d）其他必要的安全提示信息</w:t>
            </w:r>
          </w:p>
        </w:tc>
        <w:tc>
          <w:tcPr>
            <w:tcW w:w="3868" w:type="dxa"/>
            <w:tcBorders>
              <w:tl2br w:val="nil"/>
              <w:tr2bl w:val="nil"/>
            </w:tcBorders>
            <w:vAlign w:val="center"/>
          </w:tcPr>
          <w:p w14:paraId="10559E7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1191.2-2025）第7.5.7条</w:t>
            </w:r>
          </w:p>
        </w:tc>
        <w:tc>
          <w:tcPr>
            <w:tcW w:w="376" w:type="dxa"/>
            <w:tcBorders>
              <w:tl2br w:val="nil"/>
              <w:tr2bl w:val="nil"/>
            </w:tcBorders>
          </w:tcPr>
          <w:p w14:paraId="3FADB93D" w14:textId="77777777" w:rsidR="00EF4836" w:rsidRPr="00EF4836" w:rsidRDefault="00EF4836" w:rsidP="008351BE">
            <w:pPr>
              <w:widowControl/>
              <w:adjustRightInd w:val="0"/>
              <w:snapToGrid w:val="0"/>
              <w:jc w:val="center"/>
              <w:rPr>
                <w:rFonts w:ascii="仿宋_GB2312" w:eastAsia="仿宋_GB2312" w:hAnsi="仿宋_GB2312" w:cs="仿宋_GB2312" w:hint="eastAsia"/>
                <w:b/>
                <w:kern w:val="0"/>
                <w:sz w:val="20"/>
                <w:szCs w:val="20"/>
              </w:rPr>
            </w:pPr>
          </w:p>
        </w:tc>
      </w:tr>
      <w:tr w:rsidR="00EF4836" w:rsidRPr="00EF4836" w14:paraId="2B414F62" w14:textId="77777777" w:rsidTr="008351BE">
        <w:trPr>
          <w:trHeight w:val="347"/>
          <w:jc w:val="center"/>
        </w:trPr>
        <w:tc>
          <w:tcPr>
            <w:tcW w:w="971" w:type="dxa"/>
            <w:tcBorders>
              <w:tl2br w:val="nil"/>
              <w:tr2bl w:val="nil"/>
            </w:tcBorders>
            <w:vAlign w:val="center"/>
          </w:tcPr>
          <w:p w14:paraId="7C5AA872"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15.4.03.008</w:t>
            </w:r>
          </w:p>
        </w:tc>
        <w:tc>
          <w:tcPr>
            <w:tcW w:w="1064" w:type="dxa"/>
            <w:tcBorders>
              <w:tl2br w:val="nil"/>
              <w:tr2bl w:val="nil"/>
            </w:tcBorders>
            <w:vAlign w:val="center"/>
          </w:tcPr>
          <w:p w14:paraId="3CFD2137"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55F001F0"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标志及标识类</w:t>
            </w:r>
          </w:p>
        </w:tc>
        <w:tc>
          <w:tcPr>
            <w:tcW w:w="2861" w:type="dxa"/>
            <w:tcBorders>
              <w:tl2br w:val="nil"/>
              <w:tr2bl w:val="nil"/>
            </w:tcBorders>
            <w:vAlign w:val="center"/>
          </w:tcPr>
          <w:p w14:paraId="73872E8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未在实验室、危险化学品储存场所的显著位置张贴或悬挂安全操作规程和现场应急处置方案。</w:t>
            </w:r>
          </w:p>
        </w:tc>
        <w:tc>
          <w:tcPr>
            <w:tcW w:w="3889" w:type="dxa"/>
            <w:tcBorders>
              <w:tl2br w:val="nil"/>
              <w:tr2bl w:val="nil"/>
            </w:tcBorders>
            <w:vAlign w:val="center"/>
          </w:tcPr>
          <w:p w14:paraId="2411B35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在实验室、危险化学品储存场所的显著位置张贴或悬挂安全操作规程和现场应急处置方案。</w:t>
            </w:r>
          </w:p>
        </w:tc>
        <w:tc>
          <w:tcPr>
            <w:tcW w:w="3868" w:type="dxa"/>
            <w:tcBorders>
              <w:tl2br w:val="nil"/>
              <w:tr2bl w:val="nil"/>
            </w:tcBorders>
            <w:vAlign w:val="center"/>
          </w:tcPr>
          <w:p w14:paraId="5618C0A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1191.1-2025）第4.1.2条；</w:t>
            </w:r>
          </w:p>
          <w:p w14:paraId="0EA4AB0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1191.2-2025）第4.2.3条;</w:t>
            </w:r>
          </w:p>
          <w:p w14:paraId="5E4200E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1191.3-2024）第4.3.1条</w:t>
            </w:r>
          </w:p>
        </w:tc>
        <w:tc>
          <w:tcPr>
            <w:tcW w:w="376" w:type="dxa"/>
            <w:tcBorders>
              <w:tl2br w:val="nil"/>
              <w:tr2bl w:val="nil"/>
            </w:tcBorders>
          </w:tcPr>
          <w:p w14:paraId="2528DA09" w14:textId="77777777" w:rsidR="00EF4836" w:rsidRPr="00EF4836" w:rsidRDefault="00EF4836" w:rsidP="008351BE">
            <w:pPr>
              <w:widowControl/>
              <w:adjustRightInd w:val="0"/>
              <w:snapToGrid w:val="0"/>
              <w:jc w:val="center"/>
              <w:rPr>
                <w:rFonts w:ascii="仿宋_GB2312" w:eastAsia="仿宋_GB2312" w:hAnsi="仿宋_GB2312" w:cs="仿宋_GB2312" w:hint="eastAsia"/>
                <w:b/>
                <w:kern w:val="0"/>
                <w:sz w:val="20"/>
                <w:szCs w:val="20"/>
              </w:rPr>
            </w:pPr>
          </w:p>
        </w:tc>
      </w:tr>
      <w:tr w:rsidR="00EF4836" w:rsidRPr="00EF4836" w14:paraId="3CED29EF" w14:textId="77777777" w:rsidTr="008351BE">
        <w:trPr>
          <w:trHeight w:val="347"/>
          <w:jc w:val="center"/>
        </w:trPr>
        <w:tc>
          <w:tcPr>
            <w:tcW w:w="971" w:type="dxa"/>
            <w:tcBorders>
              <w:tl2br w:val="nil"/>
              <w:tr2bl w:val="nil"/>
            </w:tcBorders>
            <w:vAlign w:val="center"/>
          </w:tcPr>
          <w:p w14:paraId="038F1A5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15.1.15.001</w:t>
            </w:r>
          </w:p>
        </w:tc>
        <w:tc>
          <w:tcPr>
            <w:tcW w:w="1064" w:type="dxa"/>
            <w:tcBorders>
              <w:tl2br w:val="nil"/>
              <w:tr2bl w:val="nil"/>
            </w:tcBorders>
            <w:vAlign w:val="center"/>
          </w:tcPr>
          <w:p w14:paraId="23F2A79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基础资料类</w:t>
            </w:r>
          </w:p>
        </w:tc>
        <w:tc>
          <w:tcPr>
            <w:tcW w:w="1089" w:type="dxa"/>
            <w:tcBorders>
              <w:tl2br w:val="nil"/>
              <w:tr2bl w:val="nil"/>
            </w:tcBorders>
            <w:vAlign w:val="center"/>
          </w:tcPr>
          <w:p w14:paraId="2F133A5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其它类</w:t>
            </w:r>
          </w:p>
        </w:tc>
        <w:tc>
          <w:tcPr>
            <w:tcW w:w="2861" w:type="dxa"/>
            <w:tcBorders>
              <w:tl2br w:val="nil"/>
              <w:tr2bl w:val="nil"/>
            </w:tcBorders>
            <w:vAlign w:val="center"/>
          </w:tcPr>
          <w:p w14:paraId="0FB2258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购买危险化学品时未向供应商索取安全技术说明书（SDS）;</w:t>
            </w:r>
          </w:p>
          <w:p w14:paraId="4057550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未在实验室、危险化学品储存场所放置化学品安全技术说明书；</w:t>
            </w:r>
          </w:p>
          <w:p w14:paraId="7166FB2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包装物上未粘贴化学品安全标签或临时标签。</w:t>
            </w:r>
          </w:p>
        </w:tc>
        <w:tc>
          <w:tcPr>
            <w:tcW w:w="3889" w:type="dxa"/>
            <w:tcBorders>
              <w:tl2br w:val="nil"/>
              <w:tr2bl w:val="nil"/>
            </w:tcBorders>
            <w:vAlign w:val="center"/>
          </w:tcPr>
          <w:p w14:paraId="16BF390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购买危险化学品时应向供应商索取符合GB/T 16483规定的中文版化学品安全技术说明书（SDS）。实验室、危险化学品储存场所应放置化学品安全技术说明书。包装物上应有符合GB 15258规定的化学品安全标签。转移或分装或配置后的包装物应及时重新粘贴与化学品安全标签内容一致的标识或临时标签，临时标签应标</w:t>
            </w:r>
            <w:proofErr w:type="gramStart"/>
            <w:r w:rsidRPr="00EF4836">
              <w:rPr>
                <w:rFonts w:ascii="仿宋_GB2312" w:eastAsia="仿宋_GB2312" w:hAnsi="仿宋_GB2312" w:cs="仿宋_GB2312" w:hint="eastAsia"/>
                <w:color w:val="000000"/>
                <w:sz w:val="20"/>
                <w:szCs w:val="20"/>
              </w:rPr>
              <w:t>明危险</w:t>
            </w:r>
            <w:proofErr w:type="gramEnd"/>
            <w:r w:rsidRPr="00EF4836">
              <w:rPr>
                <w:rFonts w:ascii="仿宋_GB2312" w:eastAsia="仿宋_GB2312" w:hAnsi="仿宋_GB2312" w:cs="仿宋_GB2312" w:hint="eastAsia"/>
                <w:color w:val="000000"/>
                <w:sz w:val="20"/>
                <w:szCs w:val="20"/>
              </w:rPr>
              <w:t>化学品和百分比含量。</w:t>
            </w:r>
          </w:p>
        </w:tc>
        <w:tc>
          <w:tcPr>
            <w:tcW w:w="3868" w:type="dxa"/>
            <w:tcBorders>
              <w:tl2br w:val="nil"/>
              <w:tr2bl w:val="nil"/>
            </w:tcBorders>
            <w:vAlign w:val="center"/>
          </w:tcPr>
          <w:p w14:paraId="40FAA9D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1191.1-2025）第4.3条；</w:t>
            </w:r>
          </w:p>
          <w:p w14:paraId="6B51713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1191.2-2025）第4.4条；</w:t>
            </w:r>
          </w:p>
          <w:p w14:paraId="2E71575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1191.3-2024）第4.4；4.2.2条</w:t>
            </w:r>
          </w:p>
        </w:tc>
        <w:tc>
          <w:tcPr>
            <w:tcW w:w="376" w:type="dxa"/>
            <w:tcBorders>
              <w:tl2br w:val="nil"/>
              <w:tr2bl w:val="nil"/>
            </w:tcBorders>
          </w:tcPr>
          <w:p w14:paraId="4D2FC6DF" w14:textId="77777777" w:rsidR="00EF4836" w:rsidRPr="00EF4836" w:rsidRDefault="00EF4836" w:rsidP="008351BE">
            <w:pPr>
              <w:widowControl/>
              <w:adjustRightInd w:val="0"/>
              <w:snapToGrid w:val="0"/>
              <w:jc w:val="center"/>
              <w:rPr>
                <w:rFonts w:ascii="仿宋_GB2312" w:eastAsia="仿宋_GB2312" w:hAnsi="仿宋_GB2312" w:cs="仿宋_GB2312" w:hint="eastAsia"/>
                <w:b/>
                <w:kern w:val="0"/>
                <w:sz w:val="20"/>
                <w:szCs w:val="20"/>
              </w:rPr>
            </w:pPr>
          </w:p>
        </w:tc>
      </w:tr>
      <w:tr w:rsidR="00EF4836" w:rsidRPr="00EF4836" w14:paraId="2F41F5BB" w14:textId="77777777" w:rsidTr="008351BE">
        <w:trPr>
          <w:trHeight w:val="347"/>
          <w:jc w:val="center"/>
        </w:trPr>
        <w:tc>
          <w:tcPr>
            <w:tcW w:w="971" w:type="dxa"/>
            <w:tcBorders>
              <w:tl2br w:val="nil"/>
              <w:tr2bl w:val="nil"/>
            </w:tcBorders>
            <w:vAlign w:val="center"/>
          </w:tcPr>
          <w:p w14:paraId="716E964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15.4.03.009</w:t>
            </w:r>
          </w:p>
        </w:tc>
        <w:tc>
          <w:tcPr>
            <w:tcW w:w="1064" w:type="dxa"/>
            <w:tcBorders>
              <w:tl2br w:val="nil"/>
              <w:tr2bl w:val="nil"/>
            </w:tcBorders>
            <w:vAlign w:val="center"/>
          </w:tcPr>
          <w:p w14:paraId="3A87330D"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6FBE41E0"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标志及标识类</w:t>
            </w:r>
          </w:p>
        </w:tc>
        <w:tc>
          <w:tcPr>
            <w:tcW w:w="2861" w:type="dxa"/>
            <w:tcBorders>
              <w:tl2br w:val="nil"/>
              <w:tr2bl w:val="nil"/>
            </w:tcBorders>
            <w:vAlign w:val="center"/>
          </w:tcPr>
          <w:p w14:paraId="70F22B8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实验室、危险化学品储存场所未设置安全标志；气体管路无流向、色环和介质名称。</w:t>
            </w:r>
          </w:p>
        </w:tc>
        <w:tc>
          <w:tcPr>
            <w:tcW w:w="3889" w:type="dxa"/>
            <w:tcBorders>
              <w:tl2br w:val="nil"/>
              <w:tr2bl w:val="nil"/>
            </w:tcBorders>
            <w:vAlign w:val="center"/>
          </w:tcPr>
          <w:p w14:paraId="157BDAE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实验室、危险化学品储存场所应有安全标志，标志应包含以下要求：</w:t>
            </w:r>
          </w:p>
          <w:p w14:paraId="4B892D6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符合GB 2894规定的警告、禁止、指令、提示等永久性安全标志；</w:t>
            </w:r>
          </w:p>
          <w:p w14:paraId="689E9FD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符合GB /T 30000.31规定的化学品警示性标志的象形图。</w:t>
            </w:r>
          </w:p>
          <w:p w14:paraId="28666DB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气瓶的颜色标志应符合GB/T 7144和TSG 23的要求。气体管路的流向、色环和介质名称的设置应符合GB 7231的要求。</w:t>
            </w:r>
          </w:p>
        </w:tc>
        <w:tc>
          <w:tcPr>
            <w:tcW w:w="3868" w:type="dxa"/>
            <w:tcBorders>
              <w:tl2br w:val="nil"/>
              <w:tr2bl w:val="nil"/>
            </w:tcBorders>
            <w:vAlign w:val="center"/>
          </w:tcPr>
          <w:p w14:paraId="7C8B0BC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1191.1-2025）第4.4.3条,第4.4.1、4.4.2条;</w:t>
            </w:r>
          </w:p>
          <w:p w14:paraId="7D506B8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1191.2-2025）第4.5.4条；</w:t>
            </w:r>
          </w:p>
          <w:p w14:paraId="113ABCF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1191.3-2024）第4.3.2条</w:t>
            </w:r>
          </w:p>
        </w:tc>
        <w:tc>
          <w:tcPr>
            <w:tcW w:w="376" w:type="dxa"/>
            <w:tcBorders>
              <w:tl2br w:val="nil"/>
              <w:tr2bl w:val="nil"/>
            </w:tcBorders>
            <w:vAlign w:val="center"/>
          </w:tcPr>
          <w:p w14:paraId="15711BBE" w14:textId="77777777" w:rsidR="00EF4836" w:rsidRPr="00EF4836" w:rsidRDefault="00EF4836" w:rsidP="008351BE">
            <w:pPr>
              <w:widowControl/>
              <w:adjustRightInd w:val="0"/>
              <w:snapToGrid w:val="0"/>
              <w:jc w:val="center"/>
              <w:rPr>
                <w:rFonts w:ascii="仿宋_GB2312" w:eastAsia="仿宋_GB2312" w:hAnsi="仿宋_GB2312" w:cs="仿宋_GB2312" w:hint="eastAsia"/>
                <w:b/>
                <w:kern w:val="0"/>
                <w:sz w:val="20"/>
                <w:szCs w:val="20"/>
              </w:rPr>
            </w:pPr>
          </w:p>
        </w:tc>
      </w:tr>
      <w:tr w:rsidR="00EF4836" w:rsidRPr="00EF4836" w14:paraId="1759F1C6" w14:textId="77777777" w:rsidTr="008351BE">
        <w:trPr>
          <w:trHeight w:val="347"/>
          <w:jc w:val="center"/>
        </w:trPr>
        <w:tc>
          <w:tcPr>
            <w:tcW w:w="971" w:type="dxa"/>
            <w:tcBorders>
              <w:tl2br w:val="nil"/>
              <w:tr2bl w:val="nil"/>
            </w:tcBorders>
            <w:vAlign w:val="center"/>
          </w:tcPr>
          <w:p w14:paraId="107CD922"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15.1.08.010</w:t>
            </w:r>
          </w:p>
        </w:tc>
        <w:tc>
          <w:tcPr>
            <w:tcW w:w="1064" w:type="dxa"/>
            <w:tcBorders>
              <w:tl2br w:val="nil"/>
              <w:tr2bl w:val="nil"/>
            </w:tcBorders>
            <w:vAlign w:val="center"/>
          </w:tcPr>
          <w:p w14:paraId="20A2AAC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基础资料类</w:t>
            </w:r>
          </w:p>
        </w:tc>
        <w:tc>
          <w:tcPr>
            <w:tcW w:w="1089" w:type="dxa"/>
            <w:tcBorders>
              <w:tl2br w:val="nil"/>
              <w:tr2bl w:val="nil"/>
            </w:tcBorders>
            <w:vAlign w:val="center"/>
          </w:tcPr>
          <w:p w14:paraId="1B7F057D"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隐患排查类</w:t>
            </w:r>
          </w:p>
        </w:tc>
        <w:tc>
          <w:tcPr>
            <w:tcW w:w="2861" w:type="dxa"/>
            <w:tcBorders>
              <w:tl2br w:val="nil"/>
              <w:tr2bl w:val="nil"/>
            </w:tcBorders>
            <w:vAlign w:val="center"/>
          </w:tcPr>
          <w:p w14:paraId="73025AC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未定期对实验室危险化学品管理工作进行安全检查；实验涉及的仪器、设备、装置、仪表等未定期检查，保持完好、灵敏。未对可能释放有害物质的仪器进行定期检查，未对其仪器周边环境进行有害物质监测。</w:t>
            </w:r>
          </w:p>
        </w:tc>
        <w:tc>
          <w:tcPr>
            <w:tcW w:w="3889" w:type="dxa"/>
            <w:tcBorders>
              <w:tl2br w:val="nil"/>
              <w:tr2bl w:val="nil"/>
            </w:tcBorders>
            <w:vAlign w:val="center"/>
          </w:tcPr>
          <w:p w14:paraId="3C61AAB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应定期对实验室危险化学品管理工作进行安全检查，安全检查应包括风险源辨识、风险评价、分级、管控措施、人员行为、安全设施和设备、应急物资等内容。实验涉及的仪器、设备、装置、仪表等应定期检查，保持完好、灵敏。应对可能释放有害物质的仪器进行定期检查，必要时，对其仪器周边环境进行有害物质监测。</w:t>
            </w:r>
          </w:p>
        </w:tc>
        <w:tc>
          <w:tcPr>
            <w:tcW w:w="3868" w:type="dxa"/>
            <w:tcBorders>
              <w:tl2br w:val="nil"/>
              <w:tr2bl w:val="nil"/>
            </w:tcBorders>
            <w:vAlign w:val="center"/>
          </w:tcPr>
          <w:p w14:paraId="09DECBE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1191.2-2025）第7.5.1条；</w:t>
            </w:r>
          </w:p>
          <w:p w14:paraId="43422BB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1191.3-2024）第4.5.3条、第8.1.3条d）、e）、第8.2.1、8.2.3条</w:t>
            </w:r>
          </w:p>
        </w:tc>
        <w:tc>
          <w:tcPr>
            <w:tcW w:w="376" w:type="dxa"/>
            <w:tcBorders>
              <w:tl2br w:val="nil"/>
              <w:tr2bl w:val="nil"/>
            </w:tcBorders>
            <w:vAlign w:val="center"/>
          </w:tcPr>
          <w:p w14:paraId="5C933B61" w14:textId="77777777" w:rsidR="00EF4836" w:rsidRPr="00EF4836" w:rsidRDefault="00EF4836" w:rsidP="008351BE">
            <w:pPr>
              <w:widowControl/>
              <w:adjustRightInd w:val="0"/>
              <w:snapToGrid w:val="0"/>
              <w:jc w:val="center"/>
              <w:rPr>
                <w:rFonts w:ascii="仿宋_GB2312" w:eastAsia="仿宋_GB2312" w:hAnsi="仿宋_GB2312" w:cs="仿宋_GB2312" w:hint="eastAsia"/>
                <w:b/>
                <w:kern w:val="0"/>
                <w:sz w:val="20"/>
                <w:szCs w:val="20"/>
              </w:rPr>
            </w:pPr>
          </w:p>
        </w:tc>
      </w:tr>
      <w:tr w:rsidR="00EF4836" w:rsidRPr="00EF4836" w14:paraId="5CBA3A0A" w14:textId="77777777" w:rsidTr="008351BE">
        <w:trPr>
          <w:trHeight w:val="347"/>
          <w:jc w:val="center"/>
        </w:trPr>
        <w:tc>
          <w:tcPr>
            <w:tcW w:w="971" w:type="dxa"/>
            <w:tcBorders>
              <w:tl2br w:val="nil"/>
              <w:tr2bl w:val="nil"/>
            </w:tcBorders>
            <w:vAlign w:val="center"/>
          </w:tcPr>
          <w:p w14:paraId="709D043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15.1.10.011</w:t>
            </w:r>
          </w:p>
        </w:tc>
        <w:tc>
          <w:tcPr>
            <w:tcW w:w="1064" w:type="dxa"/>
            <w:tcBorders>
              <w:tl2br w:val="nil"/>
              <w:tr2bl w:val="nil"/>
            </w:tcBorders>
            <w:vAlign w:val="center"/>
          </w:tcPr>
          <w:p w14:paraId="52B83A54"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基础资料类</w:t>
            </w:r>
          </w:p>
        </w:tc>
        <w:tc>
          <w:tcPr>
            <w:tcW w:w="1089" w:type="dxa"/>
            <w:tcBorders>
              <w:tl2br w:val="nil"/>
              <w:tr2bl w:val="nil"/>
            </w:tcBorders>
            <w:vAlign w:val="center"/>
          </w:tcPr>
          <w:p w14:paraId="00A27BC4"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教育培训类</w:t>
            </w:r>
          </w:p>
        </w:tc>
        <w:tc>
          <w:tcPr>
            <w:tcW w:w="2861" w:type="dxa"/>
            <w:tcBorders>
              <w:tl2br w:val="nil"/>
              <w:tr2bl w:val="nil"/>
            </w:tcBorders>
            <w:vAlign w:val="center"/>
          </w:tcPr>
          <w:p w14:paraId="7472BA1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未接受专业危险化学品安全教育培训，考核合格后方可准入；未按等级实施安全检查、安全培训、安全评估、条件保障等管理）的；实验人员在未得到安全准入的条件下进入实验室（实训场所）开展实验活动；</w:t>
            </w:r>
          </w:p>
          <w:p w14:paraId="705AAEF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未经过培训并授权的实验人员使用实验仪器、设备，未定期对已授权实验人员的能力进行评估。</w:t>
            </w:r>
          </w:p>
          <w:p w14:paraId="61F6592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未对学习参观人员及其他外来人员进行安全教育培训。外来实习和短期工作人员上岗前，以及外来参观人员未接受危险化学品相关的安全知识培训。</w:t>
            </w:r>
          </w:p>
          <w:p w14:paraId="42C6DB8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未建立安全教育</w:t>
            </w:r>
            <w:proofErr w:type="gramStart"/>
            <w:r w:rsidRPr="00EF4836">
              <w:rPr>
                <w:rFonts w:ascii="仿宋_GB2312" w:eastAsia="仿宋_GB2312" w:hAnsi="仿宋_GB2312" w:cs="仿宋_GB2312" w:hint="eastAsia"/>
                <w:color w:val="000000"/>
                <w:sz w:val="20"/>
                <w:szCs w:val="20"/>
              </w:rPr>
              <w:t>培训台</w:t>
            </w:r>
            <w:proofErr w:type="gramEnd"/>
            <w:r w:rsidRPr="00EF4836">
              <w:rPr>
                <w:rFonts w:ascii="仿宋_GB2312" w:eastAsia="仿宋_GB2312" w:hAnsi="仿宋_GB2312" w:cs="仿宋_GB2312" w:hint="eastAsia"/>
                <w:color w:val="000000"/>
                <w:sz w:val="20"/>
                <w:szCs w:val="20"/>
              </w:rPr>
              <w:t>账。</w:t>
            </w:r>
          </w:p>
          <w:p w14:paraId="61E1746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普通高等学校实验人员在未得到安全准入的条件下进入实验室（实训场所）开展实验活动的。</w:t>
            </w:r>
          </w:p>
        </w:tc>
        <w:tc>
          <w:tcPr>
            <w:tcW w:w="3889" w:type="dxa"/>
            <w:tcBorders>
              <w:tl2br w:val="nil"/>
              <w:tr2bl w:val="nil"/>
            </w:tcBorders>
            <w:vAlign w:val="center"/>
          </w:tcPr>
          <w:p w14:paraId="213B9ED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开展实验操作的各类人员进入实验室前应接受专业危险化学品安全教育培训，考核合格后方可准入。</w:t>
            </w:r>
          </w:p>
          <w:p w14:paraId="074A390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所有实验仪器、设备均应由经过培训并授权的实验人员进行使用，且应定期对已授权实验人员的能力进行评估。</w:t>
            </w:r>
          </w:p>
          <w:p w14:paraId="457AE35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教育培训内容应满足下列要求： a） 安全生产相关法律法规、标准规范； b） 实验室相关岗位安全生产责任制； c） 危险化学品安全管理制度； d） 危险化学品相关安全操作规程； e） 危险化学品危害特性</w:t>
            </w:r>
            <w:r w:rsidRPr="00EF4836">
              <w:rPr>
                <w:rFonts w:ascii="仿宋_GB2312" w:eastAsia="仿宋_GB2312" w:hAnsi="仿宋_GB2312" w:cs="仿宋_GB2312" w:hint="eastAsia"/>
                <w:color w:val="000000"/>
                <w:sz w:val="20"/>
                <w:szCs w:val="20"/>
              </w:rPr>
              <w:lastRenderedPageBreak/>
              <w:t>及防护知识； f） 安全设备设施、个体防护装备的使用和维护； g） 危险化学品相关专项应急预案及现场处置方案； h） 典型事故案例等；</w:t>
            </w:r>
            <w:proofErr w:type="spellStart"/>
            <w:r w:rsidRPr="00EF4836">
              <w:rPr>
                <w:rFonts w:ascii="仿宋_GB2312" w:eastAsia="仿宋_GB2312" w:hAnsi="仿宋_GB2312" w:cs="仿宋_GB2312" w:hint="eastAsia"/>
                <w:color w:val="000000"/>
                <w:sz w:val="20"/>
                <w:szCs w:val="20"/>
              </w:rPr>
              <w:t>i</w:t>
            </w:r>
            <w:proofErr w:type="spellEnd"/>
            <w:r w:rsidRPr="00EF4836">
              <w:rPr>
                <w:rFonts w:ascii="仿宋_GB2312" w:eastAsia="仿宋_GB2312" w:hAnsi="仿宋_GB2312" w:cs="仿宋_GB2312" w:hint="eastAsia"/>
                <w:color w:val="000000"/>
                <w:sz w:val="20"/>
                <w:szCs w:val="20"/>
              </w:rPr>
              <w:t>） 急救知识与技能，如人工呼吸，心肺复苏及自动体外除颤器（AED）使用等。</w:t>
            </w:r>
          </w:p>
          <w:p w14:paraId="166F542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应对学习参观人员及其他外来人员进行安全教育培训。外来实习和短期工作人员上岗前，以及外来参观人员应接</w:t>
            </w:r>
            <w:proofErr w:type="gramStart"/>
            <w:r w:rsidRPr="00EF4836">
              <w:rPr>
                <w:rFonts w:ascii="仿宋_GB2312" w:eastAsia="仿宋_GB2312" w:hAnsi="仿宋_GB2312" w:cs="仿宋_GB2312" w:hint="eastAsia"/>
                <w:color w:val="000000"/>
                <w:sz w:val="20"/>
                <w:szCs w:val="20"/>
              </w:rPr>
              <w:t>受危险</w:t>
            </w:r>
            <w:proofErr w:type="gramEnd"/>
            <w:r w:rsidRPr="00EF4836">
              <w:rPr>
                <w:rFonts w:ascii="仿宋_GB2312" w:eastAsia="仿宋_GB2312" w:hAnsi="仿宋_GB2312" w:cs="仿宋_GB2312" w:hint="eastAsia"/>
                <w:color w:val="000000"/>
                <w:sz w:val="20"/>
                <w:szCs w:val="20"/>
              </w:rPr>
              <w:t>化学品相关的安全知识培训。</w:t>
            </w:r>
          </w:p>
          <w:p w14:paraId="47FAFDD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应建立安全教育</w:t>
            </w:r>
            <w:proofErr w:type="gramStart"/>
            <w:r w:rsidRPr="00EF4836">
              <w:rPr>
                <w:rFonts w:ascii="仿宋_GB2312" w:eastAsia="仿宋_GB2312" w:hAnsi="仿宋_GB2312" w:cs="仿宋_GB2312" w:hint="eastAsia"/>
                <w:color w:val="000000"/>
                <w:sz w:val="20"/>
                <w:szCs w:val="20"/>
              </w:rPr>
              <w:t>培训台</w:t>
            </w:r>
            <w:proofErr w:type="gramEnd"/>
            <w:r w:rsidRPr="00EF4836">
              <w:rPr>
                <w:rFonts w:ascii="仿宋_GB2312" w:eastAsia="仿宋_GB2312" w:hAnsi="仿宋_GB2312" w:cs="仿宋_GB2312" w:hint="eastAsia"/>
                <w:color w:val="000000"/>
                <w:sz w:val="20"/>
                <w:szCs w:val="20"/>
              </w:rPr>
              <w:t>账，如是记录教育培训的时间、内容、参加人员以及考核结果。</w:t>
            </w:r>
          </w:p>
          <w:p w14:paraId="02E9972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（二）实验人员在未得到安全准入的条件下进入实验室（实训场所）开展实验活动的。</w:t>
            </w:r>
          </w:p>
        </w:tc>
        <w:tc>
          <w:tcPr>
            <w:tcW w:w="3868" w:type="dxa"/>
            <w:tcBorders>
              <w:tl2br w:val="nil"/>
              <w:tr2bl w:val="nil"/>
            </w:tcBorders>
            <w:vAlign w:val="center"/>
          </w:tcPr>
          <w:p w14:paraId="565939F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《教育系统重大事故隐患判定指南》第六条（二）；</w:t>
            </w:r>
          </w:p>
          <w:p w14:paraId="3810ACE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1191.1-2025）第4.1条；</w:t>
            </w:r>
          </w:p>
          <w:p w14:paraId="72C6801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1191.2-2025）第4.3条；</w:t>
            </w:r>
          </w:p>
          <w:p w14:paraId="442D18E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1191.3-2024）第4.2.2、4.2.3、4.2.4、4.2.5、4.3.7、8.2.2</w:t>
            </w:r>
            <w:r w:rsidRPr="00EF4836">
              <w:rPr>
                <w:rFonts w:ascii="仿宋_GB2312" w:eastAsia="仿宋_GB2312" w:hAnsi="仿宋_GB2312" w:cs="仿宋_GB2312" w:hint="eastAsia"/>
                <w:color w:val="000000"/>
                <w:sz w:val="20"/>
                <w:szCs w:val="20"/>
              </w:rPr>
              <w:lastRenderedPageBreak/>
              <w:t>条</w:t>
            </w:r>
          </w:p>
        </w:tc>
        <w:tc>
          <w:tcPr>
            <w:tcW w:w="376" w:type="dxa"/>
            <w:tcBorders>
              <w:tl2br w:val="nil"/>
              <w:tr2bl w:val="nil"/>
            </w:tcBorders>
            <w:vAlign w:val="center"/>
          </w:tcPr>
          <w:p w14:paraId="1121E77C" w14:textId="77777777" w:rsidR="00EF4836" w:rsidRPr="00EF4836" w:rsidRDefault="00EF4836" w:rsidP="008351BE">
            <w:pPr>
              <w:widowControl/>
              <w:adjustRightInd w:val="0"/>
              <w:snapToGrid w:val="0"/>
              <w:jc w:val="center"/>
              <w:rPr>
                <w:rFonts w:ascii="仿宋_GB2312" w:eastAsia="仿宋_GB2312" w:hAnsi="仿宋_GB2312" w:cs="仿宋_GB2312" w:hint="eastAsia"/>
                <w:b/>
                <w:kern w:val="0"/>
                <w:sz w:val="20"/>
                <w:szCs w:val="20"/>
              </w:rPr>
            </w:pPr>
            <w:r w:rsidRPr="00EF4836">
              <w:rPr>
                <w:rFonts w:ascii="仿宋_GB2312" w:eastAsia="仿宋_GB2312" w:hAnsi="仿宋_GB2312" w:cs="仿宋_GB2312" w:hint="eastAsia"/>
                <w:b/>
                <w:color w:val="000000"/>
                <w:kern w:val="0"/>
                <w:sz w:val="20"/>
                <w:szCs w:val="20"/>
              </w:rPr>
              <w:lastRenderedPageBreak/>
              <w:t>★2</w:t>
            </w:r>
          </w:p>
        </w:tc>
      </w:tr>
      <w:tr w:rsidR="00EF4836" w:rsidRPr="00EF4836" w14:paraId="4C5EF484" w14:textId="77777777" w:rsidTr="008351BE">
        <w:trPr>
          <w:trHeight w:val="347"/>
          <w:jc w:val="center"/>
        </w:trPr>
        <w:tc>
          <w:tcPr>
            <w:tcW w:w="971" w:type="dxa"/>
            <w:tcBorders>
              <w:tl2br w:val="nil"/>
              <w:tr2bl w:val="nil"/>
            </w:tcBorders>
            <w:vAlign w:val="center"/>
          </w:tcPr>
          <w:p w14:paraId="6F51821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15.4.06.012</w:t>
            </w:r>
          </w:p>
        </w:tc>
        <w:tc>
          <w:tcPr>
            <w:tcW w:w="1064" w:type="dxa"/>
            <w:tcBorders>
              <w:tl2br w:val="nil"/>
              <w:tr2bl w:val="nil"/>
            </w:tcBorders>
            <w:vAlign w:val="center"/>
          </w:tcPr>
          <w:p w14:paraId="24F8EB93"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7C722ED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其它类</w:t>
            </w:r>
          </w:p>
        </w:tc>
        <w:tc>
          <w:tcPr>
            <w:tcW w:w="2861" w:type="dxa"/>
            <w:tcBorders>
              <w:tl2br w:val="nil"/>
              <w:tr2bl w:val="nil"/>
            </w:tcBorders>
          </w:tcPr>
          <w:p w14:paraId="437C7A3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实验室产生的废气(或尾气)未通过管路引至室外安全区域排放</w:t>
            </w:r>
          </w:p>
        </w:tc>
        <w:tc>
          <w:tcPr>
            <w:tcW w:w="3889" w:type="dxa"/>
            <w:tcBorders>
              <w:tl2br w:val="nil"/>
              <w:tr2bl w:val="nil"/>
            </w:tcBorders>
            <w:vAlign w:val="center"/>
          </w:tcPr>
          <w:p w14:paraId="1968CD1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实验室产生的废气(或尾气)应通过管路引至室外安全区域排放</w:t>
            </w:r>
          </w:p>
        </w:tc>
        <w:tc>
          <w:tcPr>
            <w:tcW w:w="3868" w:type="dxa"/>
            <w:tcBorders>
              <w:tl2br w:val="nil"/>
              <w:tr2bl w:val="nil"/>
            </w:tcBorders>
          </w:tcPr>
          <w:p w14:paraId="648FFD8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1191.2-2025）第7.5.8条</w:t>
            </w:r>
          </w:p>
        </w:tc>
        <w:tc>
          <w:tcPr>
            <w:tcW w:w="376" w:type="dxa"/>
            <w:tcBorders>
              <w:tl2br w:val="nil"/>
              <w:tr2bl w:val="nil"/>
            </w:tcBorders>
          </w:tcPr>
          <w:p w14:paraId="02FD597E" w14:textId="77777777" w:rsidR="00EF4836" w:rsidRPr="00EF4836" w:rsidRDefault="00EF4836" w:rsidP="008351BE">
            <w:pPr>
              <w:widowControl/>
              <w:adjustRightInd w:val="0"/>
              <w:snapToGrid w:val="0"/>
              <w:jc w:val="center"/>
              <w:rPr>
                <w:rFonts w:ascii="仿宋_GB2312" w:eastAsia="仿宋_GB2312" w:hAnsi="仿宋_GB2312" w:cs="仿宋_GB2312" w:hint="eastAsia"/>
                <w:b/>
                <w:kern w:val="0"/>
                <w:sz w:val="20"/>
                <w:szCs w:val="20"/>
              </w:rPr>
            </w:pPr>
          </w:p>
        </w:tc>
      </w:tr>
      <w:tr w:rsidR="00EF4836" w:rsidRPr="00EF4836" w14:paraId="1ADE01C9" w14:textId="77777777" w:rsidTr="008351BE">
        <w:trPr>
          <w:trHeight w:val="347"/>
          <w:jc w:val="center"/>
        </w:trPr>
        <w:tc>
          <w:tcPr>
            <w:tcW w:w="971" w:type="dxa"/>
            <w:tcBorders>
              <w:tl2br w:val="nil"/>
              <w:tr2bl w:val="nil"/>
            </w:tcBorders>
            <w:vAlign w:val="center"/>
          </w:tcPr>
          <w:p w14:paraId="71D73934"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15.4.06.013</w:t>
            </w:r>
          </w:p>
        </w:tc>
        <w:tc>
          <w:tcPr>
            <w:tcW w:w="1064" w:type="dxa"/>
            <w:tcBorders>
              <w:tl2br w:val="nil"/>
              <w:tr2bl w:val="nil"/>
            </w:tcBorders>
            <w:vAlign w:val="center"/>
          </w:tcPr>
          <w:p w14:paraId="68BA7B25"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55133300"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其它类</w:t>
            </w:r>
          </w:p>
        </w:tc>
        <w:tc>
          <w:tcPr>
            <w:tcW w:w="2861" w:type="dxa"/>
            <w:tcBorders>
              <w:tl2br w:val="nil"/>
              <w:tr2bl w:val="nil"/>
            </w:tcBorders>
            <w:vAlign w:val="center"/>
          </w:tcPr>
          <w:p w14:paraId="5C986AC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废弃危险化学品未合</w:t>
            </w:r>
            <w:proofErr w:type="gramStart"/>
            <w:r w:rsidRPr="00EF4836">
              <w:rPr>
                <w:rFonts w:ascii="仿宋_GB2312" w:eastAsia="仿宋_GB2312" w:hAnsi="仿宋_GB2312" w:cs="仿宋_GB2312" w:hint="eastAsia"/>
                <w:color w:val="000000"/>
                <w:sz w:val="20"/>
                <w:szCs w:val="20"/>
              </w:rPr>
              <w:t>规</w:t>
            </w:r>
            <w:proofErr w:type="gramEnd"/>
            <w:r w:rsidRPr="00EF4836">
              <w:rPr>
                <w:rFonts w:ascii="仿宋_GB2312" w:eastAsia="仿宋_GB2312" w:hAnsi="仿宋_GB2312" w:cs="仿宋_GB2312" w:hint="eastAsia"/>
                <w:color w:val="000000"/>
                <w:sz w:val="20"/>
                <w:szCs w:val="20"/>
              </w:rPr>
              <w:t>分类、清理、收集、暂存、转运、清运。</w:t>
            </w:r>
          </w:p>
        </w:tc>
        <w:tc>
          <w:tcPr>
            <w:tcW w:w="3889" w:type="dxa"/>
            <w:tcBorders>
              <w:tl2br w:val="nil"/>
              <w:tr2bl w:val="nil"/>
            </w:tcBorders>
            <w:vAlign w:val="center"/>
          </w:tcPr>
          <w:p w14:paraId="5E46389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废弃危险化学品的分类、收集、暂存、转运应合</w:t>
            </w:r>
            <w:proofErr w:type="gramStart"/>
            <w:r w:rsidRPr="00EF4836">
              <w:rPr>
                <w:rFonts w:ascii="仿宋_GB2312" w:eastAsia="仿宋_GB2312" w:hAnsi="仿宋_GB2312" w:cs="仿宋_GB2312" w:hint="eastAsia"/>
                <w:color w:val="000000"/>
                <w:sz w:val="20"/>
                <w:szCs w:val="20"/>
              </w:rPr>
              <w:t>规</w:t>
            </w:r>
            <w:proofErr w:type="gramEnd"/>
            <w:r w:rsidRPr="00EF4836">
              <w:rPr>
                <w:rFonts w:ascii="仿宋_GB2312" w:eastAsia="仿宋_GB2312" w:hAnsi="仿宋_GB2312" w:cs="仿宋_GB2312" w:hint="eastAsia"/>
                <w:color w:val="000000"/>
                <w:sz w:val="20"/>
                <w:szCs w:val="20"/>
              </w:rPr>
              <w:t>。实验结束，应将实验产生的废弃危险化学品，及时进行清理、收集、清运。</w:t>
            </w:r>
          </w:p>
        </w:tc>
        <w:tc>
          <w:tcPr>
            <w:tcW w:w="3868" w:type="dxa"/>
            <w:tcBorders>
              <w:tl2br w:val="nil"/>
              <w:tr2bl w:val="nil"/>
            </w:tcBorders>
            <w:vAlign w:val="center"/>
          </w:tcPr>
          <w:p w14:paraId="46F5542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1191.1-2025）第9.1条；</w:t>
            </w:r>
          </w:p>
          <w:p w14:paraId="4CA9C2C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1191.2-2025）第8.1、8.2条；</w:t>
            </w:r>
          </w:p>
          <w:p w14:paraId="27A1C34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1191.3-2024）第9章</w:t>
            </w:r>
          </w:p>
        </w:tc>
        <w:tc>
          <w:tcPr>
            <w:tcW w:w="376" w:type="dxa"/>
            <w:tcBorders>
              <w:tl2br w:val="nil"/>
              <w:tr2bl w:val="nil"/>
            </w:tcBorders>
            <w:vAlign w:val="center"/>
          </w:tcPr>
          <w:p w14:paraId="03CE429C" w14:textId="77777777" w:rsidR="00EF4836" w:rsidRPr="00EF4836" w:rsidRDefault="00EF4836" w:rsidP="008351BE">
            <w:pPr>
              <w:widowControl/>
              <w:adjustRightInd w:val="0"/>
              <w:snapToGrid w:val="0"/>
              <w:jc w:val="center"/>
              <w:rPr>
                <w:rFonts w:ascii="仿宋_GB2312" w:eastAsia="仿宋_GB2312" w:hAnsi="仿宋_GB2312" w:cs="仿宋_GB2312" w:hint="eastAsia"/>
                <w:b/>
                <w:kern w:val="0"/>
                <w:sz w:val="20"/>
                <w:szCs w:val="20"/>
              </w:rPr>
            </w:pPr>
          </w:p>
        </w:tc>
      </w:tr>
      <w:tr w:rsidR="00EF4836" w:rsidRPr="00EF4836" w14:paraId="759CCC68" w14:textId="77777777" w:rsidTr="008351BE">
        <w:trPr>
          <w:trHeight w:val="347"/>
          <w:jc w:val="center"/>
        </w:trPr>
        <w:tc>
          <w:tcPr>
            <w:tcW w:w="971" w:type="dxa"/>
            <w:tcBorders>
              <w:tl2br w:val="nil"/>
              <w:tr2bl w:val="nil"/>
            </w:tcBorders>
            <w:vAlign w:val="center"/>
          </w:tcPr>
          <w:p w14:paraId="51F74ED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15.4.06.014</w:t>
            </w:r>
          </w:p>
        </w:tc>
        <w:tc>
          <w:tcPr>
            <w:tcW w:w="1064" w:type="dxa"/>
            <w:tcBorders>
              <w:tl2br w:val="nil"/>
              <w:tr2bl w:val="nil"/>
            </w:tcBorders>
            <w:vAlign w:val="center"/>
          </w:tcPr>
          <w:p w14:paraId="179776C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28B380E3"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其它类</w:t>
            </w:r>
          </w:p>
        </w:tc>
        <w:tc>
          <w:tcPr>
            <w:tcW w:w="2861" w:type="dxa"/>
            <w:tcBorders>
              <w:tl2br w:val="nil"/>
              <w:tr2bl w:val="nil"/>
            </w:tcBorders>
            <w:vAlign w:val="center"/>
          </w:tcPr>
          <w:p w14:paraId="096455D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长期不使用、过期、无使用价值的、自配化学品以及缺少安全标签、不清楚主要成分的危险化学品未及时进行清理、收集、清运。</w:t>
            </w:r>
          </w:p>
        </w:tc>
        <w:tc>
          <w:tcPr>
            <w:tcW w:w="3889" w:type="dxa"/>
            <w:tcBorders>
              <w:tl2br w:val="nil"/>
              <w:tr2bl w:val="nil"/>
            </w:tcBorders>
            <w:vAlign w:val="center"/>
          </w:tcPr>
          <w:p w14:paraId="693DD69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 xml:space="preserve">长期不使用、过期、无使用价值的、自配化学品以及缺少安全标签、不清楚主要成分的危险化学品，应及时进行清理、收集、清运。 </w:t>
            </w:r>
          </w:p>
        </w:tc>
        <w:tc>
          <w:tcPr>
            <w:tcW w:w="3868" w:type="dxa"/>
            <w:tcBorders>
              <w:tl2br w:val="nil"/>
              <w:tr2bl w:val="nil"/>
            </w:tcBorders>
            <w:vAlign w:val="center"/>
          </w:tcPr>
          <w:p w14:paraId="045F707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1191.1-2025）第9.1条；</w:t>
            </w:r>
          </w:p>
          <w:p w14:paraId="5C6A9C3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1191.2-2025）第8.3条；</w:t>
            </w:r>
          </w:p>
          <w:p w14:paraId="00F79DA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1191.3-2024）第9章、第8.1.9条</w:t>
            </w:r>
          </w:p>
        </w:tc>
        <w:tc>
          <w:tcPr>
            <w:tcW w:w="376" w:type="dxa"/>
            <w:tcBorders>
              <w:tl2br w:val="nil"/>
              <w:tr2bl w:val="nil"/>
            </w:tcBorders>
            <w:vAlign w:val="center"/>
          </w:tcPr>
          <w:p w14:paraId="366902CA" w14:textId="77777777" w:rsidR="00EF4836" w:rsidRPr="00EF4836" w:rsidRDefault="00EF4836" w:rsidP="008351BE">
            <w:pPr>
              <w:widowControl/>
              <w:adjustRightInd w:val="0"/>
              <w:snapToGrid w:val="0"/>
              <w:jc w:val="center"/>
              <w:rPr>
                <w:rFonts w:ascii="仿宋_GB2312" w:eastAsia="仿宋_GB2312" w:hAnsi="仿宋_GB2312" w:cs="仿宋_GB2312" w:hint="eastAsia"/>
                <w:b/>
                <w:kern w:val="0"/>
                <w:sz w:val="20"/>
                <w:szCs w:val="20"/>
              </w:rPr>
            </w:pPr>
          </w:p>
        </w:tc>
      </w:tr>
      <w:tr w:rsidR="00EF4836" w:rsidRPr="00EF4836" w14:paraId="48595B3F" w14:textId="77777777" w:rsidTr="008351BE">
        <w:trPr>
          <w:trHeight w:val="347"/>
          <w:jc w:val="center"/>
        </w:trPr>
        <w:tc>
          <w:tcPr>
            <w:tcW w:w="971" w:type="dxa"/>
            <w:tcBorders>
              <w:tl2br w:val="nil"/>
              <w:tr2bl w:val="nil"/>
            </w:tcBorders>
            <w:vAlign w:val="center"/>
          </w:tcPr>
          <w:p w14:paraId="1B5AB2F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15.4.06.015</w:t>
            </w:r>
          </w:p>
        </w:tc>
        <w:tc>
          <w:tcPr>
            <w:tcW w:w="1064" w:type="dxa"/>
            <w:tcBorders>
              <w:tl2br w:val="nil"/>
              <w:tr2bl w:val="nil"/>
            </w:tcBorders>
            <w:vAlign w:val="center"/>
          </w:tcPr>
          <w:p w14:paraId="0190408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1608B85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其它类</w:t>
            </w:r>
          </w:p>
        </w:tc>
        <w:tc>
          <w:tcPr>
            <w:tcW w:w="2861" w:type="dxa"/>
            <w:tcBorders>
              <w:tl2br w:val="nil"/>
              <w:tr2bl w:val="nil"/>
            </w:tcBorders>
            <w:vAlign w:val="center"/>
          </w:tcPr>
          <w:p w14:paraId="6793A828" w14:textId="6EF1F6A2"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未委托具有相关资质的单位及时处置废弃危险化学品；废弃气瓶未及时委托</w:t>
            </w:r>
            <w:proofErr w:type="gramStart"/>
            <w:r w:rsidRPr="00EF4836">
              <w:rPr>
                <w:rFonts w:ascii="仿宋_GB2312" w:eastAsia="仿宋_GB2312" w:hAnsi="仿宋_GB2312" w:cs="仿宋_GB2312" w:hint="eastAsia"/>
                <w:color w:val="000000"/>
                <w:sz w:val="20"/>
                <w:szCs w:val="20"/>
              </w:rPr>
              <w:t>具相应</w:t>
            </w:r>
            <w:proofErr w:type="gramEnd"/>
            <w:r w:rsidRPr="00EF4836">
              <w:rPr>
                <w:rFonts w:ascii="仿宋_GB2312" w:eastAsia="仿宋_GB2312" w:hAnsi="仿宋_GB2312" w:cs="仿宋_GB2312" w:hint="eastAsia"/>
                <w:color w:val="000000"/>
                <w:sz w:val="20"/>
                <w:szCs w:val="20"/>
              </w:rPr>
              <w:t>资质的气瓶检验机构或专业气体回收处理单位进行处理。</w:t>
            </w:r>
          </w:p>
        </w:tc>
        <w:tc>
          <w:tcPr>
            <w:tcW w:w="3889" w:type="dxa"/>
            <w:tcBorders>
              <w:tl2br w:val="nil"/>
              <w:tr2bl w:val="nil"/>
            </w:tcBorders>
            <w:vAlign w:val="center"/>
          </w:tcPr>
          <w:p w14:paraId="26A6FCBC" w14:textId="538F9CD0"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应委托具有相关资质的单位及时处置废弃危险化学品。长期不使用的、未在检验有效期内的、有缺陷的气瓶因应及时委托</w:t>
            </w:r>
            <w:proofErr w:type="gramStart"/>
            <w:r w:rsidRPr="00EF4836">
              <w:rPr>
                <w:rFonts w:ascii="仿宋_GB2312" w:eastAsia="仿宋_GB2312" w:hAnsi="仿宋_GB2312" w:cs="仿宋_GB2312" w:hint="eastAsia"/>
                <w:color w:val="000000"/>
                <w:sz w:val="20"/>
                <w:szCs w:val="20"/>
              </w:rPr>
              <w:t>具相应</w:t>
            </w:r>
            <w:proofErr w:type="gramEnd"/>
            <w:r w:rsidRPr="00EF4836">
              <w:rPr>
                <w:rFonts w:ascii="仿宋_GB2312" w:eastAsia="仿宋_GB2312" w:hAnsi="仿宋_GB2312" w:cs="仿宋_GB2312" w:hint="eastAsia"/>
                <w:color w:val="000000"/>
                <w:sz w:val="20"/>
                <w:szCs w:val="20"/>
              </w:rPr>
              <w:t>资质的气瓶检验机构或专业气体回收处理单位进行处理。</w:t>
            </w:r>
          </w:p>
        </w:tc>
        <w:tc>
          <w:tcPr>
            <w:tcW w:w="3868" w:type="dxa"/>
            <w:tcBorders>
              <w:tl2br w:val="nil"/>
              <w:tr2bl w:val="nil"/>
            </w:tcBorders>
            <w:vAlign w:val="center"/>
          </w:tcPr>
          <w:p w14:paraId="6F3A6D3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1191.1-2025）第9.2条；</w:t>
            </w:r>
          </w:p>
          <w:p w14:paraId="2F7BFA2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1191.2-2025）第8.4；</w:t>
            </w:r>
          </w:p>
          <w:p w14:paraId="4238355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1191.3-2024）第9章、第7.4.10条</w:t>
            </w:r>
          </w:p>
        </w:tc>
        <w:tc>
          <w:tcPr>
            <w:tcW w:w="376" w:type="dxa"/>
            <w:tcBorders>
              <w:tl2br w:val="nil"/>
              <w:tr2bl w:val="nil"/>
            </w:tcBorders>
            <w:vAlign w:val="center"/>
          </w:tcPr>
          <w:p w14:paraId="0162DA32" w14:textId="77777777" w:rsidR="00EF4836" w:rsidRPr="00EF4836" w:rsidRDefault="00EF4836" w:rsidP="008351BE">
            <w:pPr>
              <w:widowControl/>
              <w:adjustRightInd w:val="0"/>
              <w:snapToGrid w:val="0"/>
              <w:jc w:val="center"/>
              <w:rPr>
                <w:rFonts w:ascii="仿宋_GB2312" w:eastAsia="仿宋_GB2312" w:hAnsi="仿宋_GB2312" w:cs="仿宋_GB2312" w:hint="eastAsia"/>
                <w:b/>
                <w:kern w:val="0"/>
                <w:sz w:val="20"/>
                <w:szCs w:val="20"/>
              </w:rPr>
            </w:pPr>
          </w:p>
        </w:tc>
      </w:tr>
      <w:tr w:rsidR="00EF4836" w:rsidRPr="00EF4836" w14:paraId="74CB3E8A" w14:textId="77777777" w:rsidTr="008351BE">
        <w:trPr>
          <w:trHeight w:val="347"/>
          <w:jc w:val="center"/>
        </w:trPr>
        <w:tc>
          <w:tcPr>
            <w:tcW w:w="971" w:type="dxa"/>
            <w:tcBorders>
              <w:tl2br w:val="nil"/>
              <w:tr2bl w:val="nil"/>
            </w:tcBorders>
            <w:vAlign w:val="center"/>
          </w:tcPr>
          <w:p w14:paraId="270E6ABD"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15.1.09.016</w:t>
            </w:r>
          </w:p>
        </w:tc>
        <w:tc>
          <w:tcPr>
            <w:tcW w:w="1064" w:type="dxa"/>
            <w:tcBorders>
              <w:tl2br w:val="nil"/>
              <w:tr2bl w:val="nil"/>
            </w:tcBorders>
            <w:vAlign w:val="center"/>
          </w:tcPr>
          <w:p w14:paraId="6F21945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基础资料类</w:t>
            </w:r>
          </w:p>
        </w:tc>
        <w:tc>
          <w:tcPr>
            <w:tcW w:w="1089" w:type="dxa"/>
            <w:tcBorders>
              <w:tl2br w:val="nil"/>
              <w:tr2bl w:val="nil"/>
            </w:tcBorders>
            <w:vAlign w:val="center"/>
          </w:tcPr>
          <w:p w14:paraId="7645034E"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应急救援类</w:t>
            </w:r>
          </w:p>
        </w:tc>
        <w:tc>
          <w:tcPr>
            <w:tcW w:w="2861" w:type="dxa"/>
            <w:tcBorders>
              <w:tl2br w:val="nil"/>
              <w:tr2bl w:val="nil"/>
            </w:tcBorders>
            <w:vAlign w:val="center"/>
          </w:tcPr>
          <w:p w14:paraId="509CB39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未编制符合要求的危险化学品事故专项应急预案、现场处置方案和应急处置卡。</w:t>
            </w:r>
          </w:p>
        </w:tc>
        <w:tc>
          <w:tcPr>
            <w:tcW w:w="3889" w:type="dxa"/>
            <w:tcBorders>
              <w:tl2br w:val="nil"/>
              <w:tr2bl w:val="nil"/>
            </w:tcBorders>
            <w:vAlign w:val="center"/>
          </w:tcPr>
          <w:p w14:paraId="26A32D4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实验室、危险化学品储存场所应编制符合要求的危险化学品事故专项应急预案或现场处置方案。按照实验室场所、岗位、使用与储存危险化学品的特点，编制应急处置卡。</w:t>
            </w:r>
          </w:p>
        </w:tc>
        <w:tc>
          <w:tcPr>
            <w:tcW w:w="3868" w:type="dxa"/>
            <w:tcBorders>
              <w:tl2br w:val="nil"/>
              <w:tr2bl w:val="nil"/>
            </w:tcBorders>
            <w:vAlign w:val="center"/>
          </w:tcPr>
          <w:p w14:paraId="5D0CF32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1191.1-2025）第4.5.1条；第4.5.2条</w:t>
            </w:r>
          </w:p>
          <w:p w14:paraId="54DA054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1191.2-2025）第4.6.1条；第4.6.2条</w:t>
            </w:r>
          </w:p>
          <w:p w14:paraId="4B08446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1191.3-2024）第4.1.1 h）、4.1.5条、第4.1.1 h）、4.1.5条；</w:t>
            </w:r>
          </w:p>
        </w:tc>
        <w:tc>
          <w:tcPr>
            <w:tcW w:w="376" w:type="dxa"/>
            <w:tcBorders>
              <w:tl2br w:val="nil"/>
              <w:tr2bl w:val="nil"/>
            </w:tcBorders>
            <w:vAlign w:val="center"/>
          </w:tcPr>
          <w:p w14:paraId="17355A05" w14:textId="77777777" w:rsidR="00EF4836" w:rsidRPr="00EF4836" w:rsidRDefault="00EF4836" w:rsidP="008351BE">
            <w:pPr>
              <w:widowControl/>
              <w:adjustRightInd w:val="0"/>
              <w:snapToGrid w:val="0"/>
              <w:jc w:val="center"/>
              <w:rPr>
                <w:rFonts w:ascii="仿宋_GB2312" w:eastAsia="仿宋_GB2312" w:hAnsi="仿宋_GB2312" w:cs="仿宋_GB2312" w:hint="eastAsia"/>
                <w:b/>
                <w:kern w:val="0"/>
                <w:sz w:val="20"/>
                <w:szCs w:val="20"/>
              </w:rPr>
            </w:pPr>
          </w:p>
        </w:tc>
      </w:tr>
      <w:tr w:rsidR="00EF4836" w:rsidRPr="00EF4836" w14:paraId="072C2A76" w14:textId="77777777" w:rsidTr="008351BE">
        <w:trPr>
          <w:trHeight w:val="347"/>
          <w:jc w:val="center"/>
        </w:trPr>
        <w:tc>
          <w:tcPr>
            <w:tcW w:w="971" w:type="dxa"/>
            <w:tcBorders>
              <w:tl2br w:val="nil"/>
              <w:tr2bl w:val="nil"/>
            </w:tcBorders>
            <w:vAlign w:val="center"/>
          </w:tcPr>
          <w:p w14:paraId="342B345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15.1.09.017</w:t>
            </w:r>
          </w:p>
        </w:tc>
        <w:tc>
          <w:tcPr>
            <w:tcW w:w="1064" w:type="dxa"/>
            <w:tcBorders>
              <w:tl2br w:val="nil"/>
              <w:tr2bl w:val="nil"/>
            </w:tcBorders>
            <w:vAlign w:val="center"/>
          </w:tcPr>
          <w:p w14:paraId="788398F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基础资料类</w:t>
            </w:r>
          </w:p>
        </w:tc>
        <w:tc>
          <w:tcPr>
            <w:tcW w:w="1089" w:type="dxa"/>
            <w:tcBorders>
              <w:tl2br w:val="nil"/>
              <w:tr2bl w:val="nil"/>
            </w:tcBorders>
            <w:vAlign w:val="center"/>
          </w:tcPr>
          <w:p w14:paraId="6B910244"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应急救援类</w:t>
            </w:r>
          </w:p>
        </w:tc>
        <w:tc>
          <w:tcPr>
            <w:tcW w:w="2861" w:type="dxa"/>
            <w:tcBorders>
              <w:tl2br w:val="nil"/>
              <w:tr2bl w:val="nil"/>
            </w:tcBorders>
            <w:vAlign w:val="center"/>
          </w:tcPr>
          <w:p w14:paraId="3510DB5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未按规定频次组织应急演练，未有演练记录；</w:t>
            </w:r>
          </w:p>
          <w:p w14:paraId="62BAB2E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高校实验室未制定应急预案并定期演练。</w:t>
            </w:r>
          </w:p>
        </w:tc>
        <w:tc>
          <w:tcPr>
            <w:tcW w:w="3889" w:type="dxa"/>
            <w:tcBorders>
              <w:tl2br w:val="nil"/>
              <w:tr2bl w:val="nil"/>
            </w:tcBorders>
            <w:vAlign w:val="center"/>
          </w:tcPr>
          <w:p w14:paraId="2F6F1BA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相关专项应急预案每年至少演练一次，现场处置方案每半年至少演练一次，演练应有记录。</w:t>
            </w:r>
          </w:p>
        </w:tc>
        <w:tc>
          <w:tcPr>
            <w:tcW w:w="3868" w:type="dxa"/>
            <w:tcBorders>
              <w:tl2br w:val="nil"/>
              <w:tr2bl w:val="nil"/>
            </w:tcBorders>
            <w:vAlign w:val="center"/>
          </w:tcPr>
          <w:p w14:paraId="548451D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1191.1-2025）第4.5.3条；《实验室危险化学品安全管理要求 第2部分：普通高等学校》（DB11/T 1191.2-2025）第4.6.3、4.6.4、4.6.5条；</w:t>
            </w:r>
          </w:p>
          <w:p w14:paraId="7344C18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《教育系统重大事故隐患判定指南》第六条（三）；</w:t>
            </w:r>
          </w:p>
          <w:p w14:paraId="2FC2489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1191.3-2024）第4.1.6条</w:t>
            </w:r>
          </w:p>
        </w:tc>
        <w:tc>
          <w:tcPr>
            <w:tcW w:w="376" w:type="dxa"/>
            <w:tcBorders>
              <w:tl2br w:val="nil"/>
              <w:tr2bl w:val="nil"/>
            </w:tcBorders>
            <w:vAlign w:val="center"/>
          </w:tcPr>
          <w:p w14:paraId="4B689BC1" w14:textId="77777777" w:rsidR="00EF4836" w:rsidRPr="00EF4836" w:rsidRDefault="00EF4836" w:rsidP="008351BE">
            <w:pPr>
              <w:widowControl/>
              <w:adjustRightInd w:val="0"/>
              <w:snapToGrid w:val="0"/>
              <w:jc w:val="center"/>
              <w:rPr>
                <w:rFonts w:ascii="仿宋_GB2312" w:eastAsia="仿宋_GB2312" w:hAnsi="仿宋_GB2312" w:cs="仿宋_GB2312" w:hint="eastAsia"/>
                <w:b/>
                <w:kern w:val="0"/>
                <w:sz w:val="20"/>
                <w:szCs w:val="20"/>
              </w:rPr>
            </w:pPr>
            <w:r w:rsidRPr="00EF4836">
              <w:rPr>
                <w:rFonts w:ascii="仿宋_GB2312" w:eastAsia="仿宋_GB2312" w:hAnsi="仿宋_GB2312" w:cs="仿宋_GB2312" w:hint="eastAsia"/>
                <w:b/>
                <w:color w:val="000000"/>
                <w:kern w:val="0"/>
                <w:sz w:val="20"/>
                <w:szCs w:val="20"/>
              </w:rPr>
              <w:t>★2</w:t>
            </w:r>
          </w:p>
        </w:tc>
      </w:tr>
      <w:tr w:rsidR="00EF4836" w:rsidRPr="00EF4836" w14:paraId="7FFE8C20" w14:textId="77777777" w:rsidTr="008351BE">
        <w:trPr>
          <w:trHeight w:val="347"/>
          <w:jc w:val="center"/>
        </w:trPr>
        <w:tc>
          <w:tcPr>
            <w:tcW w:w="971" w:type="dxa"/>
            <w:tcBorders>
              <w:tl2br w:val="nil"/>
              <w:tr2bl w:val="nil"/>
            </w:tcBorders>
            <w:vAlign w:val="center"/>
          </w:tcPr>
          <w:p w14:paraId="4465A132"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15.1.07.018</w:t>
            </w:r>
          </w:p>
        </w:tc>
        <w:tc>
          <w:tcPr>
            <w:tcW w:w="1064" w:type="dxa"/>
            <w:tcBorders>
              <w:tl2br w:val="nil"/>
              <w:tr2bl w:val="nil"/>
            </w:tcBorders>
            <w:vAlign w:val="center"/>
          </w:tcPr>
          <w:p w14:paraId="09E5DB13"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基础资料类</w:t>
            </w:r>
          </w:p>
        </w:tc>
        <w:tc>
          <w:tcPr>
            <w:tcW w:w="1089" w:type="dxa"/>
            <w:tcBorders>
              <w:tl2br w:val="nil"/>
              <w:tr2bl w:val="nil"/>
            </w:tcBorders>
            <w:vAlign w:val="center"/>
          </w:tcPr>
          <w:p w14:paraId="52122E8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风险辨识类</w:t>
            </w:r>
          </w:p>
        </w:tc>
        <w:tc>
          <w:tcPr>
            <w:tcW w:w="2861" w:type="dxa"/>
            <w:tcBorders>
              <w:tl2br w:val="nil"/>
              <w:tr2bl w:val="nil"/>
            </w:tcBorders>
            <w:vAlign w:val="center"/>
          </w:tcPr>
          <w:p w14:paraId="1E9108C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教育系统实验室未建立实验室重要危险源（包括各类剧毒、易制爆、易制毒、爆炸品等有毒有害化学品，各类易燃、易爆、有毒、窒息、高压等危险气体）风险管控方案（包括但不限于实验室分级分类；高风险等级实验室的备案与监督）。</w:t>
            </w:r>
          </w:p>
        </w:tc>
        <w:tc>
          <w:tcPr>
            <w:tcW w:w="3889" w:type="dxa"/>
            <w:tcBorders>
              <w:tl2br w:val="nil"/>
              <w:tr2bl w:val="nil"/>
            </w:tcBorders>
            <w:vAlign w:val="center"/>
          </w:tcPr>
          <w:p w14:paraId="3D0B8D0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未建立实验室（实训场所）重要危险源（包括各类剧毒、易制爆、易制毒、爆炸品等有毒有害化学品，各类易燃、易爆、有毒、窒息、高压等危险气体，动物及病原微生物，辐射源及射线装置，同位素及核材料，危险性机械加工装置，强电强磁与激光设备，特种设备等）风险管控方案（包括但不限于实验室分级分类；高风险等级实验室的备案与监督）。</w:t>
            </w:r>
          </w:p>
        </w:tc>
        <w:tc>
          <w:tcPr>
            <w:tcW w:w="3868" w:type="dxa"/>
            <w:tcBorders>
              <w:tl2br w:val="nil"/>
              <w:tr2bl w:val="nil"/>
            </w:tcBorders>
            <w:vAlign w:val="center"/>
          </w:tcPr>
          <w:p w14:paraId="7F2EC06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《教育系统重大事故隐患判定指南》第六条（三）</w:t>
            </w:r>
          </w:p>
          <w:p w14:paraId="3F980E5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p>
        </w:tc>
        <w:tc>
          <w:tcPr>
            <w:tcW w:w="376" w:type="dxa"/>
            <w:tcBorders>
              <w:tl2br w:val="nil"/>
              <w:tr2bl w:val="nil"/>
            </w:tcBorders>
            <w:vAlign w:val="center"/>
          </w:tcPr>
          <w:p w14:paraId="476B71EE"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rPr>
            </w:pPr>
            <w:r w:rsidRPr="00EF4836">
              <w:rPr>
                <w:rFonts w:ascii="仿宋_GB2312" w:eastAsia="仿宋_GB2312" w:hAnsi="仿宋_GB2312" w:cs="仿宋_GB2312" w:hint="eastAsia"/>
                <w:color w:val="000000"/>
                <w:sz w:val="20"/>
                <w:szCs w:val="20"/>
              </w:rPr>
              <w:t>★2</w:t>
            </w:r>
          </w:p>
        </w:tc>
      </w:tr>
      <w:tr w:rsidR="00EF4836" w:rsidRPr="00EF4836" w14:paraId="788CEDF4" w14:textId="77777777" w:rsidTr="008351BE">
        <w:trPr>
          <w:trHeight w:val="347"/>
          <w:jc w:val="center"/>
        </w:trPr>
        <w:tc>
          <w:tcPr>
            <w:tcW w:w="971" w:type="dxa"/>
            <w:tcBorders>
              <w:tl2br w:val="nil"/>
              <w:tr2bl w:val="nil"/>
            </w:tcBorders>
            <w:vAlign w:val="center"/>
          </w:tcPr>
          <w:p w14:paraId="6352B19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15.1.09.019</w:t>
            </w:r>
          </w:p>
        </w:tc>
        <w:tc>
          <w:tcPr>
            <w:tcW w:w="1064" w:type="dxa"/>
            <w:tcBorders>
              <w:tl2br w:val="nil"/>
              <w:tr2bl w:val="nil"/>
            </w:tcBorders>
            <w:vAlign w:val="center"/>
          </w:tcPr>
          <w:p w14:paraId="7672F0F2"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基础资料类</w:t>
            </w:r>
          </w:p>
        </w:tc>
        <w:tc>
          <w:tcPr>
            <w:tcW w:w="1089" w:type="dxa"/>
            <w:tcBorders>
              <w:tl2br w:val="nil"/>
              <w:tr2bl w:val="nil"/>
            </w:tcBorders>
            <w:vAlign w:val="center"/>
          </w:tcPr>
          <w:p w14:paraId="32927BF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应急救援类</w:t>
            </w:r>
          </w:p>
        </w:tc>
        <w:tc>
          <w:tcPr>
            <w:tcW w:w="2861" w:type="dxa"/>
            <w:tcBorders>
              <w:tl2br w:val="nil"/>
              <w:tr2bl w:val="nil"/>
            </w:tcBorders>
          </w:tcPr>
          <w:p w14:paraId="38AB46F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当实验过程或储存过程中，仪器、设备或现场出现异常情况或危险化学品泄漏、中毒、窒息、着火、灼伤、爆炸等可能危及实验人员安全时，实验人员未停止作业，迅速撤离，未及时通知实验室安全负责人。</w:t>
            </w:r>
          </w:p>
        </w:tc>
        <w:tc>
          <w:tcPr>
            <w:tcW w:w="3889" w:type="dxa"/>
            <w:tcBorders>
              <w:tl2br w:val="nil"/>
              <w:tr2bl w:val="nil"/>
            </w:tcBorders>
            <w:vAlign w:val="center"/>
          </w:tcPr>
          <w:p w14:paraId="1DCF4CF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当实验过程中仪器、设备或现场出现异常情况，可能危及实验人员安全时，实验人员应立即停止作业，迅速撤离，并及时通知实验室安全负责人。</w:t>
            </w:r>
          </w:p>
        </w:tc>
        <w:tc>
          <w:tcPr>
            <w:tcW w:w="3868" w:type="dxa"/>
            <w:tcBorders>
              <w:tl2br w:val="nil"/>
              <w:tr2bl w:val="nil"/>
            </w:tcBorders>
          </w:tcPr>
          <w:p w14:paraId="34C7D57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1191.3-2024）第8.2.11条</w:t>
            </w:r>
          </w:p>
        </w:tc>
        <w:tc>
          <w:tcPr>
            <w:tcW w:w="376" w:type="dxa"/>
            <w:tcBorders>
              <w:tl2br w:val="nil"/>
              <w:tr2bl w:val="nil"/>
            </w:tcBorders>
          </w:tcPr>
          <w:p w14:paraId="715582EF" w14:textId="77777777" w:rsidR="00EF4836" w:rsidRPr="00EF4836" w:rsidRDefault="00EF4836" w:rsidP="008351BE">
            <w:pPr>
              <w:autoSpaceDE w:val="0"/>
              <w:autoSpaceDN w:val="0"/>
              <w:adjustRightInd w:val="0"/>
              <w:snapToGrid w:val="0"/>
              <w:jc w:val="left"/>
              <w:rPr>
                <w:rFonts w:ascii="仿宋_GB2312" w:eastAsia="仿宋_GB2312" w:hAnsi="仿宋_GB2312" w:cs="仿宋_GB2312" w:hint="eastAsia"/>
                <w:color w:val="000000"/>
                <w:sz w:val="20"/>
                <w:szCs w:val="20"/>
              </w:rPr>
            </w:pPr>
          </w:p>
        </w:tc>
      </w:tr>
      <w:tr w:rsidR="00EF4836" w:rsidRPr="00EF4836" w14:paraId="5839C2BD" w14:textId="77777777" w:rsidTr="008351BE">
        <w:trPr>
          <w:trHeight w:val="475"/>
          <w:jc w:val="center"/>
        </w:trPr>
        <w:tc>
          <w:tcPr>
            <w:tcW w:w="14118" w:type="dxa"/>
            <w:gridSpan w:val="7"/>
            <w:tcBorders>
              <w:tl2br w:val="nil"/>
              <w:tr2bl w:val="nil"/>
            </w:tcBorders>
            <w:shd w:val="clear" w:color="auto" w:fill="95B3D7"/>
            <w:vAlign w:val="center"/>
          </w:tcPr>
          <w:p w14:paraId="51918F78"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b/>
                <w:color w:val="000000"/>
                <w:kern w:val="0"/>
                <w:sz w:val="20"/>
                <w:szCs w:val="20"/>
                <w:lang w:bidi="ar"/>
              </w:rPr>
              <w:t>建（构）筑物管理</w:t>
            </w:r>
          </w:p>
        </w:tc>
      </w:tr>
      <w:tr w:rsidR="00EF4836" w:rsidRPr="00EF4836" w14:paraId="576C47FF" w14:textId="77777777" w:rsidTr="008351BE">
        <w:trPr>
          <w:trHeight w:val="347"/>
          <w:jc w:val="center"/>
        </w:trPr>
        <w:tc>
          <w:tcPr>
            <w:tcW w:w="971" w:type="dxa"/>
            <w:tcBorders>
              <w:tl2br w:val="nil"/>
              <w:tr2bl w:val="nil"/>
            </w:tcBorders>
            <w:vAlign w:val="center"/>
          </w:tcPr>
          <w:p w14:paraId="3AF0A5D3"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15.4.01.020</w:t>
            </w:r>
          </w:p>
        </w:tc>
        <w:tc>
          <w:tcPr>
            <w:tcW w:w="1064" w:type="dxa"/>
            <w:tcBorders>
              <w:tl2br w:val="nil"/>
              <w:tr2bl w:val="nil"/>
            </w:tcBorders>
            <w:vAlign w:val="center"/>
          </w:tcPr>
          <w:p w14:paraId="3D166F5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20BA0E5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平面布置类</w:t>
            </w:r>
          </w:p>
        </w:tc>
        <w:tc>
          <w:tcPr>
            <w:tcW w:w="2861" w:type="dxa"/>
            <w:tcBorders>
              <w:tl2br w:val="nil"/>
              <w:tr2bl w:val="nil"/>
            </w:tcBorders>
            <w:vAlign w:val="center"/>
          </w:tcPr>
          <w:p w14:paraId="1CC5AA4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使用、储存危险化学品的实验室、储存场所与周边安全间距不足；</w:t>
            </w:r>
          </w:p>
          <w:p w14:paraId="66222AE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液氧站的建构筑物与周边设施的防火间距不符合GB 50030的要求；</w:t>
            </w:r>
          </w:p>
          <w:p w14:paraId="47D3BF5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氢气站（供氢站）的建构筑物、与周边设施的防火间距不符合GB 50177的要求。</w:t>
            </w:r>
          </w:p>
        </w:tc>
        <w:tc>
          <w:tcPr>
            <w:tcW w:w="3889" w:type="dxa"/>
            <w:tcBorders>
              <w:tl2br w:val="nil"/>
              <w:tr2bl w:val="nil"/>
            </w:tcBorders>
            <w:vAlign w:val="center"/>
          </w:tcPr>
          <w:p w14:paraId="2160895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使用、储存危险化学品的实验室、储存场所，应确定所占建构筑物比例和火灾危险性类别，并依据GB 50016判定周边安全间距的符合性。液氧站的建构筑物与周边设施的防火间距应符合GB 50030的要求；氢气站（供氢站）的建构筑物、与周边设施的防火间距应符合GB 50177的要求。</w:t>
            </w:r>
          </w:p>
        </w:tc>
        <w:tc>
          <w:tcPr>
            <w:tcW w:w="3868" w:type="dxa"/>
            <w:tcBorders>
              <w:tl2br w:val="nil"/>
              <w:tr2bl w:val="nil"/>
            </w:tcBorders>
            <w:vAlign w:val="center"/>
          </w:tcPr>
          <w:p w14:paraId="0F82419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《建筑设计防火规范（2018年版）》（GB 50016-2014）第3.1.1、3.1.3、3.4.1、3.4.3、3.5.1、3.5.2条；</w:t>
            </w:r>
          </w:p>
          <w:p w14:paraId="131B66B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《氧气站设计规范》（GB 50030-2013）；</w:t>
            </w:r>
          </w:p>
          <w:p w14:paraId="1D4170E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《氢气站设计规范》（GB 50177-2005）</w:t>
            </w:r>
          </w:p>
        </w:tc>
        <w:tc>
          <w:tcPr>
            <w:tcW w:w="376" w:type="dxa"/>
            <w:tcBorders>
              <w:tl2br w:val="nil"/>
              <w:tr2bl w:val="nil"/>
            </w:tcBorders>
            <w:vAlign w:val="center"/>
          </w:tcPr>
          <w:p w14:paraId="7294F447"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18C49A80" w14:textId="77777777" w:rsidTr="008351BE">
        <w:trPr>
          <w:trHeight w:val="347"/>
          <w:jc w:val="center"/>
        </w:trPr>
        <w:tc>
          <w:tcPr>
            <w:tcW w:w="971" w:type="dxa"/>
            <w:tcBorders>
              <w:tl2br w:val="nil"/>
              <w:tr2bl w:val="nil"/>
            </w:tcBorders>
            <w:vAlign w:val="center"/>
          </w:tcPr>
          <w:p w14:paraId="7012D362"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15.4.05.021</w:t>
            </w:r>
          </w:p>
        </w:tc>
        <w:tc>
          <w:tcPr>
            <w:tcW w:w="1064" w:type="dxa"/>
            <w:tcBorders>
              <w:tl2br w:val="nil"/>
              <w:tr2bl w:val="nil"/>
            </w:tcBorders>
            <w:vAlign w:val="center"/>
          </w:tcPr>
          <w:p w14:paraId="1D4436F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5CFD459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周边环境类</w:t>
            </w:r>
          </w:p>
        </w:tc>
        <w:tc>
          <w:tcPr>
            <w:tcW w:w="2861" w:type="dxa"/>
            <w:tcBorders>
              <w:tl2br w:val="nil"/>
              <w:tr2bl w:val="nil"/>
            </w:tcBorders>
            <w:vAlign w:val="center"/>
          </w:tcPr>
          <w:p w14:paraId="7B64BED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储存爆炸物的仓库、储存有毒气体或易燃气体且构成危险化学品重大危险源的仓库与周边防护目标的外部安全防护距离不合格。</w:t>
            </w:r>
          </w:p>
        </w:tc>
        <w:tc>
          <w:tcPr>
            <w:tcW w:w="3889" w:type="dxa"/>
            <w:tcBorders>
              <w:tl2br w:val="nil"/>
              <w:tr2bl w:val="nil"/>
            </w:tcBorders>
            <w:vAlign w:val="center"/>
          </w:tcPr>
          <w:p w14:paraId="62F98B3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储存爆炸物的仓库、储存有毒气体或易燃气体且构成危险化学品重大危险源的仓库与周边防护目标的外部安全防护距离应符合GB 36894、GB/T 37243的规定。</w:t>
            </w:r>
          </w:p>
          <w:p w14:paraId="1A5F238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危险化学品储存场所应远离食堂、会议室、活动室等人员密集场所。</w:t>
            </w:r>
          </w:p>
        </w:tc>
        <w:tc>
          <w:tcPr>
            <w:tcW w:w="3868" w:type="dxa"/>
            <w:tcBorders>
              <w:tl2br w:val="nil"/>
              <w:tr2bl w:val="nil"/>
            </w:tcBorders>
            <w:vAlign w:val="center"/>
          </w:tcPr>
          <w:p w14:paraId="4EE3151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《危险化学品储存场所建设及储存安全要求》（DB11/T 755）第4.2.2条</w:t>
            </w:r>
          </w:p>
        </w:tc>
        <w:tc>
          <w:tcPr>
            <w:tcW w:w="376" w:type="dxa"/>
            <w:tcBorders>
              <w:tl2br w:val="nil"/>
              <w:tr2bl w:val="nil"/>
            </w:tcBorders>
            <w:vAlign w:val="center"/>
          </w:tcPr>
          <w:p w14:paraId="78ACD06B"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554F7845" w14:textId="77777777" w:rsidTr="008351BE">
        <w:trPr>
          <w:trHeight w:val="347"/>
          <w:jc w:val="center"/>
        </w:trPr>
        <w:tc>
          <w:tcPr>
            <w:tcW w:w="971" w:type="dxa"/>
            <w:tcBorders>
              <w:tl2br w:val="nil"/>
              <w:tr2bl w:val="nil"/>
            </w:tcBorders>
            <w:vAlign w:val="center"/>
          </w:tcPr>
          <w:p w14:paraId="4967DD44"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15.2.11.022</w:t>
            </w:r>
          </w:p>
        </w:tc>
        <w:tc>
          <w:tcPr>
            <w:tcW w:w="1064" w:type="dxa"/>
            <w:tcBorders>
              <w:tl2br w:val="nil"/>
              <w:tr2bl w:val="nil"/>
            </w:tcBorders>
            <w:vAlign w:val="center"/>
          </w:tcPr>
          <w:p w14:paraId="30A05F75"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137AD89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其它设备设施类</w:t>
            </w:r>
          </w:p>
        </w:tc>
        <w:tc>
          <w:tcPr>
            <w:tcW w:w="2861" w:type="dxa"/>
            <w:tcBorders>
              <w:tl2br w:val="nil"/>
              <w:tr2bl w:val="nil"/>
            </w:tcBorders>
            <w:vAlign w:val="center"/>
          </w:tcPr>
          <w:p w14:paraId="6AD488A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有爆炸风险的实验室、易燃易爆危险化学品储存场所、气瓶间、汇流排间，建筑物耐火等级低于二级，未设置泄压设施。</w:t>
            </w:r>
          </w:p>
        </w:tc>
        <w:tc>
          <w:tcPr>
            <w:tcW w:w="3889" w:type="dxa"/>
            <w:tcBorders>
              <w:tl2br w:val="nil"/>
              <w:tr2bl w:val="nil"/>
            </w:tcBorders>
            <w:vAlign w:val="center"/>
          </w:tcPr>
          <w:p w14:paraId="768A458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有爆炸风险的实验室、易燃易爆危险化学品储存场所、气瓶间、汇流排间，建筑物耐火等级不应低于二级，应设置泄压设施。</w:t>
            </w:r>
          </w:p>
        </w:tc>
        <w:tc>
          <w:tcPr>
            <w:tcW w:w="3868" w:type="dxa"/>
            <w:tcBorders>
              <w:tl2br w:val="nil"/>
              <w:tr2bl w:val="nil"/>
            </w:tcBorders>
            <w:vAlign w:val="center"/>
          </w:tcPr>
          <w:p w14:paraId="319B33E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1191.1-2025）第5.4节；</w:t>
            </w:r>
          </w:p>
          <w:p w14:paraId="2A23CEC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1191.2-2025）第5.3.2条c）；</w:t>
            </w:r>
          </w:p>
          <w:p w14:paraId="3ABFC32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1191.3-2024）第5.2.2条d）、第5.5.3条a）</w:t>
            </w:r>
          </w:p>
        </w:tc>
        <w:tc>
          <w:tcPr>
            <w:tcW w:w="376" w:type="dxa"/>
            <w:tcBorders>
              <w:tl2br w:val="nil"/>
              <w:tr2bl w:val="nil"/>
            </w:tcBorders>
            <w:vAlign w:val="center"/>
          </w:tcPr>
          <w:p w14:paraId="69AE0DAC"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73319B4B" w14:textId="77777777" w:rsidTr="008351BE">
        <w:trPr>
          <w:trHeight w:val="347"/>
          <w:jc w:val="center"/>
        </w:trPr>
        <w:tc>
          <w:tcPr>
            <w:tcW w:w="971" w:type="dxa"/>
            <w:tcBorders>
              <w:tl2br w:val="nil"/>
              <w:tr2bl w:val="nil"/>
            </w:tcBorders>
            <w:vAlign w:val="center"/>
          </w:tcPr>
          <w:p w14:paraId="64C5C16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15.2.11.023</w:t>
            </w:r>
          </w:p>
        </w:tc>
        <w:tc>
          <w:tcPr>
            <w:tcW w:w="1064" w:type="dxa"/>
            <w:tcBorders>
              <w:tl2br w:val="nil"/>
              <w:tr2bl w:val="nil"/>
            </w:tcBorders>
            <w:vAlign w:val="center"/>
          </w:tcPr>
          <w:p w14:paraId="1199CAE4"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540935F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其它设备设施类</w:t>
            </w:r>
          </w:p>
        </w:tc>
        <w:tc>
          <w:tcPr>
            <w:tcW w:w="2861" w:type="dxa"/>
            <w:tcBorders>
              <w:tl2br w:val="nil"/>
              <w:tr2bl w:val="nil"/>
            </w:tcBorders>
            <w:vAlign w:val="center"/>
          </w:tcPr>
          <w:p w14:paraId="006813D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存在爆炸危险的危险化学品仓库未设置泄压设施，泄压方向、墙体、门窗不符合要求。</w:t>
            </w:r>
          </w:p>
        </w:tc>
        <w:tc>
          <w:tcPr>
            <w:tcW w:w="3889" w:type="dxa"/>
            <w:tcBorders>
              <w:tl2br w:val="nil"/>
              <w:tr2bl w:val="nil"/>
            </w:tcBorders>
            <w:vAlign w:val="center"/>
          </w:tcPr>
          <w:p w14:paraId="33CE8B3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存在爆炸危险的危险化学品仓库应设置泄压设施。泄压方向宜向上，侧面泄压应避开人员集中场所、主要通道及能引起二次爆炸的车间、仓库。泄压设施宜采用轻质屋面</w:t>
            </w:r>
            <w:r w:rsidRPr="00EF4836">
              <w:rPr>
                <w:rFonts w:ascii="仿宋_GB2312" w:eastAsia="仿宋_GB2312" w:hAnsi="仿宋_GB2312" w:cs="仿宋_GB2312" w:hint="eastAsia"/>
                <w:color w:val="000000"/>
                <w:sz w:val="20"/>
                <w:szCs w:val="20"/>
              </w:rPr>
              <w:lastRenderedPageBreak/>
              <w:t>板、轻质墙体和易于泄压的门、窗等。</w:t>
            </w:r>
          </w:p>
        </w:tc>
        <w:tc>
          <w:tcPr>
            <w:tcW w:w="3868" w:type="dxa"/>
            <w:tcBorders>
              <w:tl2br w:val="nil"/>
              <w:tr2bl w:val="nil"/>
            </w:tcBorders>
            <w:vAlign w:val="center"/>
          </w:tcPr>
          <w:p w14:paraId="15BF312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《危险化学品储存场所建设及储存安全要求》（DB11/T 755）第4.2.9条</w:t>
            </w:r>
          </w:p>
        </w:tc>
        <w:tc>
          <w:tcPr>
            <w:tcW w:w="376" w:type="dxa"/>
            <w:tcBorders>
              <w:tl2br w:val="nil"/>
              <w:tr2bl w:val="nil"/>
            </w:tcBorders>
            <w:vAlign w:val="center"/>
          </w:tcPr>
          <w:p w14:paraId="62CD25D7"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357A9AE4" w14:textId="77777777" w:rsidTr="008351BE">
        <w:trPr>
          <w:trHeight w:val="347"/>
          <w:jc w:val="center"/>
        </w:trPr>
        <w:tc>
          <w:tcPr>
            <w:tcW w:w="971" w:type="dxa"/>
            <w:tcBorders>
              <w:tl2br w:val="nil"/>
              <w:tr2bl w:val="nil"/>
            </w:tcBorders>
            <w:vAlign w:val="center"/>
          </w:tcPr>
          <w:p w14:paraId="511F858E"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15.4.02.024</w:t>
            </w:r>
          </w:p>
        </w:tc>
        <w:tc>
          <w:tcPr>
            <w:tcW w:w="1064" w:type="dxa"/>
            <w:tcBorders>
              <w:tl2br w:val="nil"/>
              <w:tr2bl w:val="nil"/>
            </w:tcBorders>
            <w:vAlign w:val="center"/>
          </w:tcPr>
          <w:p w14:paraId="4153756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39CC8C1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建（构）筑物类</w:t>
            </w:r>
          </w:p>
        </w:tc>
        <w:tc>
          <w:tcPr>
            <w:tcW w:w="2861" w:type="dxa"/>
            <w:tcBorders>
              <w:tl2br w:val="nil"/>
              <w:tr2bl w:val="nil"/>
            </w:tcBorders>
            <w:vAlign w:val="center"/>
          </w:tcPr>
          <w:p w14:paraId="7727691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危险化学品储存场所、设有危险化学品储存柜的实验室设置在地下或半地下建（构）筑物内。专用储存室、气瓶间、仓库设有地下室。储存有易燃易爆危险化学品的专用储存室设地沟、暗道。</w:t>
            </w:r>
          </w:p>
        </w:tc>
        <w:tc>
          <w:tcPr>
            <w:tcW w:w="3889" w:type="dxa"/>
            <w:tcBorders>
              <w:tl2br w:val="nil"/>
              <w:tr2bl w:val="nil"/>
            </w:tcBorders>
            <w:vAlign w:val="center"/>
          </w:tcPr>
          <w:p w14:paraId="3DF727D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危险化学品储存场所、设置危险化学品储存柜的实验室不应设置在地下或半地下建（构）筑物内。专用储存室、气瓶间、仓库不应设有地下室。储存有易燃易爆危险化学品的专用储存室不应设地沟、暗道。</w:t>
            </w:r>
          </w:p>
        </w:tc>
        <w:tc>
          <w:tcPr>
            <w:tcW w:w="3868" w:type="dxa"/>
            <w:tcBorders>
              <w:tl2br w:val="nil"/>
              <w:tr2bl w:val="nil"/>
            </w:tcBorders>
            <w:vAlign w:val="center"/>
          </w:tcPr>
          <w:p w14:paraId="4DC03B7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1191.1-2025）第7.1.2条；</w:t>
            </w:r>
          </w:p>
          <w:p w14:paraId="62B5642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1191.2-2025）第6.1.1条；</w:t>
            </w:r>
          </w:p>
          <w:p w14:paraId="63D0CB1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1191.3-2024）第5.1.2条</w:t>
            </w:r>
          </w:p>
        </w:tc>
        <w:tc>
          <w:tcPr>
            <w:tcW w:w="376" w:type="dxa"/>
            <w:tcBorders>
              <w:tl2br w:val="nil"/>
              <w:tr2bl w:val="nil"/>
            </w:tcBorders>
            <w:vAlign w:val="center"/>
          </w:tcPr>
          <w:p w14:paraId="5C0B3845"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6AFB5478" w14:textId="77777777" w:rsidTr="008351BE">
        <w:trPr>
          <w:trHeight w:val="347"/>
          <w:jc w:val="center"/>
        </w:trPr>
        <w:tc>
          <w:tcPr>
            <w:tcW w:w="971" w:type="dxa"/>
            <w:tcBorders>
              <w:tl2br w:val="nil"/>
              <w:tr2bl w:val="nil"/>
            </w:tcBorders>
            <w:vAlign w:val="center"/>
          </w:tcPr>
          <w:p w14:paraId="3B94DEE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15.4.02.025</w:t>
            </w:r>
          </w:p>
        </w:tc>
        <w:tc>
          <w:tcPr>
            <w:tcW w:w="1064" w:type="dxa"/>
            <w:tcBorders>
              <w:tl2br w:val="nil"/>
              <w:tr2bl w:val="nil"/>
            </w:tcBorders>
            <w:vAlign w:val="center"/>
          </w:tcPr>
          <w:p w14:paraId="593898C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6B4A58C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建（构）筑物类</w:t>
            </w:r>
          </w:p>
        </w:tc>
        <w:tc>
          <w:tcPr>
            <w:tcW w:w="2861" w:type="dxa"/>
            <w:tcBorders>
              <w:tl2br w:val="nil"/>
              <w:tr2bl w:val="nil"/>
            </w:tcBorders>
            <w:vAlign w:val="center"/>
          </w:tcPr>
          <w:p w14:paraId="1E3D54A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可能散发可燃气体的专用储存室、气瓶间设有吊顶。</w:t>
            </w:r>
          </w:p>
          <w:p w14:paraId="31E5CD6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工业企业未在可能散发可燃气体的专用储存室、气瓶间吊顶内设置可燃气体探测器。</w:t>
            </w:r>
          </w:p>
        </w:tc>
        <w:tc>
          <w:tcPr>
            <w:tcW w:w="3889" w:type="dxa"/>
            <w:tcBorders>
              <w:tl2br w:val="nil"/>
              <w:tr2bl w:val="nil"/>
            </w:tcBorders>
            <w:vAlign w:val="center"/>
          </w:tcPr>
          <w:p w14:paraId="5805EBD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使用或产生比空气轻的可</w:t>
            </w:r>
            <w:proofErr w:type="gramStart"/>
            <w:r w:rsidRPr="00EF4836">
              <w:rPr>
                <w:rFonts w:ascii="仿宋_GB2312" w:eastAsia="仿宋_GB2312" w:hAnsi="仿宋_GB2312" w:cs="仿宋_GB2312" w:hint="eastAsia"/>
                <w:color w:val="000000"/>
                <w:sz w:val="20"/>
                <w:szCs w:val="20"/>
              </w:rPr>
              <w:t>燃气体且有</w:t>
            </w:r>
            <w:proofErr w:type="gramEnd"/>
            <w:r w:rsidRPr="00EF4836">
              <w:rPr>
                <w:rFonts w:ascii="仿宋_GB2312" w:eastAsia="仿宋_GB2312" w:hAnsi="仿宋_GB2312" w:cs="仿宋_GB2312" w:hint="eastAsia"/>
                <w:color w:val="000000"/>
                <w:sz w:val="20"/>
                <w:szCs w:val="20"/>
              </w:rPr>
              <w:t>火灾、爆炸风险的实验室不宜设置吊顶，确需设置时应在吊顶内设置可燃气体探测器。可能散发可燃气体的专用储存室、气瓶间不应设吊顶。</w:t>
            </w:r>
          </w:p>
          <w:p w14:paraId="7EAA5E02" w14:textId="5EC222A0"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存在可燃或有毒气体泄漏风险的场所未按设计要求设置气体探测器或气体探测器功能失效。</w:t>
            </w:r>
          </w:p>
        </w:tc>
        <w:tc>
          <w:tcPr>
            <w:tcW w:w="3868" w:type="dxa"/>
            <w:tcBorders>
              <w:tl2br w:val="nil"/>
              <w:tr2bl w:val="nil"/>
            </w:tcBorders>
            <w:vAlign w:val="center"/>
          </w:tcPr>
          <w:p w14:paraId="68E5776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《中华人民共和国安全生产法》第三十六条；</w:t>
            </w:r>
          </w:p>
          <w:p w14:paraId="46235E73" w14:textId="77777777" w:rsidR="00EF4836" w:rsidRPr="00EF4836" w:rsidRDefault="00EF4836" w:rsidP="008351BE">
            <w:pPr>
              <w:autoSpaceDE w:val="0"/>
              <w:autoSpaceDN w:val="0"/>
              <w:adjustRightInd w:val="0"/>
              <w:snapToGrid w:val="0"/>
              <w:ind w:left="200" w:hangingChars="100" w:hanging="20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《建筑设计防火规范（2018年版）》（GB 50016-2014）第8.4.3条；</w:t>
            </w:r>
          </w:p>
          <w:p w14:paraId="55EB310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《化工和危险化学品企业重大生产安全事故隐患判定准则（征求意见稿）》第5.4.2条；</w:t>
            </w:r>
          </w:p>
          <w:p w14:paraId="3AC5A04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1191.1-2025）第5.1、5.4条；</w:t>
            </w:r>
          </w:p>
          <w:p w14:paraId="4AA3AF5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1191.2-2025）第5.1.4条；</w:t>
            </w:r>
          </w:p>
          <w:p w14:paraId="048AA91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1191.3-2024）第5.2.3条</w:t>
            </w:r>
          </w:p>
        </w:tc>
        <w:tc>
          <w:tcPr>
            <w:tcW w:w="376" w:type="dxa"/>
            <w:tcBorders>
              <w:tl2br w:val="nil"/>
              <w:tr2bl w:val="nil"/>
            </w:tcBorders>
            <w:vAlign w:val="center"/>
          </w:tcPr>
          <w:p w14:paraId="5685EDA9"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r w:rsidRPr="00EF4836">
              <w:rPr>
                <w:rFonts w:ascii="仿宋_GB2312" w:eastAsia="仿宋_GB2312" w:hAnsi="仿宋_GB2312" w:cs="仿宋_GB2312" w:hint="eastAsia"/>
                <w:b/>
                <w:color w:val="000000"/>
                <w:kern w:val="0"/>
                <w:sz w:val="20"/>
                <w:szCs w:val="20"/>
              </w:rPr>
              <w:t>★1</w:t>
            </w:r>
          </w:p>
        </w:tc>
      </w:tr>
      <w:tr w:rsidR="00EF4836" w:rsidRPr="00EF4836" w14:paraId="627F68AE" w14:textId="77777777" w:rsidTr="008351BE">
        <w:trPr>
          <w:trHeight w:val="347"/>
          <w:jc w:val="center"/>
        </w:trPr>
        <w:tc>
          <w:tcPr>
            <w:tcW w:w="971" w:type="dxa"/>
            <w:tcBorders>
              <w:tl2br w:val="nil"/>
              <w:tr2bl w:val="nil"/>
            </w:tcBorders>
            <w:vAlign w:val="center"/>
          </w:tcPr>
          <w:p w14:paraId="46E464E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15.4.02</w:t>
            </w:r>
            <w:r w:rsidRPr="00EF4836">
              <w:rPr>
                <w:rFonts w:ascii="仿宋_GB2312" w:eastAsia="仿宋_GB2312" w:hAnsi="仿宋_GB2312" w:cs="仿宋_GB2312" w:hint="eastAsia"/>
                <w:color w:val="000000"/>
                <w:sz w:val="20"/>
                <w:szCs w:val="20"/>
              </w:rPr>
              <w:lastRenderedPageBreak/>
              <w:t>.026</w:t>
            </w:r>
          </w:p>
        </w:tc>
        <w:tc>
          <w:tcPr>
            <w:tcW w:w="1064" w:type="dxa"/>
            <w:tcBorders>
              <w:tl2br w:val="nil"/>
              <w:tr2bl w:val="nil"/>
            </w:tcBorders>
            <w:vAlign w:val="center"/>
          </w:tcPr>
          <w:p w14:paraId="42FF953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场所环境</w:t>
            </w:r>
            <w:r w:rsidRPr="00EF4836">
              <w:rPr>
                <w:rFonts w:ascii="仿宋_GB2312" w:eastAsia="仿宋_GB2312" w:hAnsi="仿宋_GB2312" w:cs="仿宋_GB2312" w:hint="eastAsia"/>
                <w:color w:val="000000"/>
                <w:sz w:val="20"/>
                <w:szCs w:val="20"/>
              </w:rPr>
              <w:lastRenderedPageBreak/>
              <w:t>类</w:t>
            </w:r>
          </w:p>
        </w:tc>
        <w:tc>
          <w:tcPr>
            <w:tcW w:w="1089" w:type="dxa"/>
            <w:tcBorders>
              <w:tl2br w:val="nil"/>
              <w:tr2bl w:val="nil"/>
            </w:tcBorders>
            <w:vAlign w:val="center"/>
          </w:tcPr>
          <w:p w14:paraId="620C014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建（构）</w:t>
            </w:r>
            <w:r w:rsidRPr="00EF4836">
              <w:rPr>
                <w:rFonts w:ascii="仿宋_GB2312" w:eastAsia="仿宋_GB2312" w:hAnsi="仿宋_GB2312" w:cs="仿宋_GB2312" w:hint="eastAsia"/>
                <w:color w:val="000000"/>
                <w:sz w:val="20"/>
                <w:szCs w:val="20"/>
              </w:rPr>
              <w:lastRenderedPageBreak/>
              <w:t>筑物类</w:t>
            </w:r>
          </w:p>
        </w:tc>
        <w:tc>
          <w:tcPr>
            <w:tcW w:w="2861" w:type="dxa"/>
            <w:tcBorders>
              <w:tl2br w:val="nil"/>
              <w:tr2bl w:val="nil"/>
            </w:tcBorders>
            <w:vAlign w:val="center"/>
          </w:tcPr>
          <w:p w14:paraId="019AA1C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易燃易爆危险化学品储存场所</w:t>
            </w:r>
            <w:r w:rsidRPr="00EF4836">
              <w:rPr>
                <w:rFonts w:ascii="仿宋_GB2312" w:eastAsia="仿宋_GB2312" w:hAnsi="仿宋_GB2312" w:cs="仿宋_GB2312" w:hint="eastAsia"/>
                <w:color w:val="000000"/>
                <w:sz w:val="20"/>
                <w:szCs w:val="20"/>
              </w:rPr>
              <w:lastRenderedPageBreak/>
              <w:t>地面未设置不发火的导静电地面；储存腐蚀性危险化学品的储存场所未做防腐处理。</w:t>
            </w:r>
          </w:p>
        </w:tc>
        <w:tc>
          <w:tcPr>
            <w:tcW w:w="3889" w:type="dxa"/>
            <w:tcBorders>
              <w:tl2br w:val="nil"/>
              <w:tr2bl w:val="nil"/>
            </w:tcBorders>
            <w:vAlign w:val="center"/>
          </w:tcPr>
          <w:p w14:paraId="243DB2C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易燃易爆危险化学品储存场所的地面应为</w:t>
            </w:r>
            <w:r w:rsidRPr="00EF4836">
              <w:rPr>
                <w:rFonts w:ascii="仿宋_GB2312" w:eastAsia="仿宋_GB2312" w:hAnsi="仿宋_GB2312" w:cs="仿宋_GB2312" w:hint="eastAsia"/>
                <w:color w:val="000000"/>
                <w:sz w:val="20"/>
                <w:szCs w:val="20"/>
              </w:rPr>
              <w:lastRenderedPageBreak/>
              <w:t>不发火的导静电地面。储存腐蚀性危险化学品的储存场所应做防腐处理。</w:t>
            </w:r>
          </w:p>
        </w:tc>
        <w:tc>
          <w:tcPr>
            <w:tcW w:w="3868" w:type="dxa"/>
            <w:tcBorders>
              <w:tl2br w:val="nil"/>
              <w:tr2bl w:val="nil"/>
            </w:tcBorders>
            <w:vAlign w:val="center"/>
          </w:tcPr>
          <w:p w14:paraId="6E00417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《实验室危险化学品安全管理要求 第1部</w:t>
            </w:r>
            <w:r w:rsidRPr="00EF4836">
              <w:rPr>
                <w:rFonts w:ascii="仿宋_GB2312" w:eastAsia="仿宋_GB2312" w:hAnsi="仿宋_GB2312" w:cs="仿宋_GB2312" w:hint="eastAsia"/>
                <w:color w:val="000000"/>
                <w:sz w:val="20"/>
                <w:szCs w:val="20"/>
              </w:rPr>
              <w:lastRenderedPageBreak/>
              <w:t>分：工业企业》（DB11/T 1191.1-2025）第5.5、5.6节；</w:t>
            </w:r>
          </w:p>
          <w:p w14:paraId="1ADBD73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1191.2-2025）第5.1.3条；</w:t>
            </w:r>
          </w:p>
          <w:p w14:paraId="7EDC59E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1191.3-2024）第5.2.1条</w:t>
            </w:r>
          </w:p>
        </w:tc>
        <w:tc>
          <w:tcPr>
            <w:tcW w:w="376" w:type="dxa"/>
            <w:tcBorders>
              <w:tl2br w:val="nil"/>
              <w:tr2bl w:val="nil"/>
            </w:tcBorders>
            <w:vAlign w:val="center"/>
          </w:tcPr>
          <w:p w14:paraId="6672F073"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767CCFCB" w14:textId="77777777" w:rsidTr="008351BE">
        <w:trPr>
          <w:trHeight w:val="347"/>
          <w:jc w:val="center"/>
        </w:trPr>
        <w:tc>
          <w:tcPr>
            <w:tcW w:w="971" w:type="dxa"/>
            <w:tcBorders>
              <w:tl2br w:val="nil"/>
              <w:tr2bl w:val="nil"/>
            </w:tcBorders>
            <w:vAlign w:val="center"/>
          </w:tcPr>
          <w:p w14:paraId="4CDFD38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15.4.02.027</w:t>
            </w:r>
          </w:p>
        </w:tc>
        <w:tc>
          <w:tcPr>
            <w:tcW w:w="1064" w:type="dxa"/>
            <w:tcBorders>
              <w:tl2br w:val="nil"/>
              <w:tr2bl w:val="nil"/>
            </w:tcBorders>
            <w:vAlign w:val="center"/>
          </w:tcPr>
          <w:p w14:paraId="41C370C2"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01C9A69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建（构）筑物类</w:t>
            </w:r>
          </w:p>
        </w:tc>
        <w:tc>
          <w:tcPr>
            <w:tcW w:w="2861" w:type="dxa"/>
            <w:tcBorders>
              <w:tl2br w:val="nil"/>
              <w:tr2bl w:val="nil"/>
            </w:tcBorders>
            <w:vAlign w:val="center"/>
          </w:tcPr>
          <w:p w14:paraId="30086F6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实验工作区和办公休息区未隔开设置。</w:t>
            </w:r>
          </w:p>
        </w:tc>
        <w:tc>
          <w:tcPr>
            <w:tcW w:w="3889" w:type="dxa"/>
            <w:tcBorders>
              <w:tl2br w:val="nil"/>
              <w:tr2bl w:val="nil"/>
            </w:tcBorders>
            <w:vAlign w:val="center"/>
          </w:tcPr>
          <w:p w14:paraId="4EA5C07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实验工作区和办公休息区应隔开设置。</w:t>
            </w:r>
          </w:p>
        </w:tc>
        <w:tc>
          <w:tcPr>
            <w:tcW w:w="3868" w:type="dxa"/>
            <w:tcBorders>
              <w:tl2br w:val="nil"/>
              <w:tr2bl w:val="nil"/>
            </w:tcBorders>
            <w:vAlign w:val="center"/>
          </w:tcPr>
          <w:p w14:paraId="47D693F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1191.1-2025）第5.3节；</w:t>
            </w:r>
          </w:p>
          <w:p w14:paraId="0DF73DA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1191.2-2025）第5.3.1条；</w:t>
            </w:r>
          </w:p>
          <w:p w14:paraId="6105F29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1191.3-2024）第5.2.1条</w:t>
            </w:r>
          </w:p>
        </w:tc>
        <w:tc>
          <w:tcPr>
            <w:tcW w:w="376" w:type="dxa"/>
            <w:tcBorders>
              <w:tl2br w:val="nil"/>
              <w:tr2bl w:val="nil"/>
            </w:tcBorders>
            <w:vAlign w:val="center"/>
          </w:tcPr>
          <w:p w14:paraId="3C391F91"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1B7E1225" w14:textId="77777777" w:rsidTr="008351BE">
        <w:trPr>
          <w:trHeight w:val="347"/>
          <w:jc w:val="center"/>
        </w:trPr>
        <w:tc>
          <w:tcPr>
            <w:tcW w:w="971" w:type="dxa"/>
            <w:tcBorders>
              <w:tl2br w:val="nil"/>
              <w:tr2bl w:val="nil"/>
            </w:tcBorders>
            <w:vAlign w:val="center"/>
          </w:tcPr>
          <w:p w14:paraId="2D3CA1F2"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15.2.07.028</w:t>
            </w:r>
          </w:p>
        </w:tc>
        <w:tc>
          <w:tcPr>
            <w:tcW w:w="1064" w:type="dxa"/>
            <w:tcBorders>
              <w:tl2br w:val="nil"/>
              <w:tr2bl w:val="nil"/>
            </w:tcBorders>
            <w:vAlign w:val="center"/>
          </w:tcPr>
          <w:p w14:paraId="0A1D9CD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2D172C2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通用设备类</w:t>
            </w:r>
          </w:p>
        </w:tc>
        <w:tc>
          <w:tcPr>
            <w:tcW w:w="2861" w:type="dxa"/>
            <w:tcBorders>
              <w:tl2br w:val="nil"/>
              <w:tr2bl w:val="nil"/>
            </w:tcBorders>
            <w:vAlign w:val="center"/>
          </w:tcPr>
          <w:p w14:paraId="6D06205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实验室以及甲、乙类物质储存场所的门未向疏散方向开启且非平开门。</w:t>
            </w:r>
          </w:p>
        </w:tc>
        <w:tc>
          <w:tcPr>
            <w:tcW w:w="3889" w:type="dxa"/>
            <w:tcBorders>
              <w:tl2br w:val="nil"/>
              <w:tr2bl w:val="nil"/>
            </w:tcBorders>
            <w:vAlign w:val="center"/>
          </w:tcPr>
          <w:p w14:paraId="1F13CF0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实验室以及甲、乙类物质储存场所的门应向疏散方向开启且采用平开门，不应采用推拉门、卷帘门。易燃易爆危险化学品储存场所的门应为甲级防火门，并应有防盗功能。</w:t>
            </w:r>
          </w:p>
        </w:tc>
        <w:tc>
          <w:tcPr>
            <w:tcW w:w="3868" w:type="dxa"/>
            <w:tcBorders>
              <w:tl2br w:val="nil"/>
              <w:tr2bl w:val="nil"/>
            </w:tcBorders>
            <w:vAlign w:val="center"/>
          </w:tcPr>
          <w:p w14:paraId="55FADB9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1191.1-2025）第5.2条；</w:t>
            </w:r>
          </w:p>
          <w:p w14:paraId="13C7471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1191.2-2025）第5.3.2条；</w:t>
            </w:r>
          </w:p>
          <w:p w14:paraId="5EFDF96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1191.3-2024）第5.1.3条b）</w:t>
            </w:r>
          </w:p>
        </w:tc>
        <w:tc>
          <w:tcPr>
            <w:tcW w:w="376" w:type="dxa"/>
            <w:tcBorders>
              <w:tl2br w:val="nil"/>
              <w:tr2bl w:val="nil"/>
            </w:tcBorders>
            <w:vAlign w:val="center"/>
          </w:tcPr>
          <w:p w14:paraId="50565816"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3842BC39" w14:textId="77777777" w:rsidTr="008351BE">
        <w:trPr>
          <w:trHeight w:val="347"/>
          <w:jc w:val="center"/>
        </w:trPr>
        <w:tc>
          <w:tcPr>
            <w:tcW w:w="971" w:type="dxa"/>
            <w:tcBorders>
              <w:tl2br w:val="nil"/>
              <w:tr2bl w:val="nil"/>
            </w:tcBorders>
            <w:vAlign w:val="center"/>
          </w:tcPr>
          <w:p w14:paraId="4E8ADA3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15.2.12.029</w:t>
            </w:r>
          </w:p>
        </w:tc>
        <w:tc>
          <w:tcPr>
            <w:tcW w:w="1064" w:type="dxa"/>
            <w:tcBorders>
              <w:tl2br w:val="nil"/>
              <w:tr2bl w:val="nil"/>
            </w:tcBorders>
            <w:vAlign w:val="center"/>
          </w:tcPr>
          <w:p w14:paraId="3FE2B32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77005920"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w:t>
            </w:r>
          </w:p>
        </w:tc>
        <w:tc>
          <w:tcPr>
            <w:tcW w:w="2861" w:type="dxa"/>
            <w:tcBorders>
              <w:tl2br w:val="nil"/>
              <w:tr2bl w:val="nil"/>
            </w:tcBorders>
            <w:vAlign w:val="center"/>
          </w:tcPr>
          <w:p w14:paraId="63681F0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实验台、通风橱等临时储存危险化学品超过当班或当天的用</w:t>
            </w:r>
            <w:r w:rsidRPr="00EF4836">
              <w:rPr>
                <w:rFonts w:ascii="仿宋_GB2312" w:eastAsia="仿宋_GB2312" w:hAnsi="仿宋_GB2312" w:cs="仿宋_GB2312" w:hint="eastAsia"/>
                <w:color w:val="000000"/>
                <w:sz w:val="20"/>
                <w:szCs w:val="20"/>
              </w:rPr>
              <w:lastRenderedPageBreak/>
              <w:t>量，剩余危险化学品未及时放回危险化学品储存场所。</w:t>
            </w:r>
          </w:p>
        </w:tc>
        <w:tc>
          <w:tcPr>
            <w:tcW w:w="3889" w:type="dxa"/>
            <w:tcBorders>
              <w:tl2br w:val="nil"/>
              <w:tr2bl w:val="nil"/>
            </w:tcBorders>
            <w:vAlign w:val="center"/>
          </w:tcPr>
          <w:p w14:paraId="2C7B39D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实验室内实验台、通风橱等临时储存危险化学品时，不应超过当班或当天的用量，剩</w:t>
            </w:r>
            <w:r w:rsidRPr="00EF4836">
              <w:rPr>
                <w:rFonts w:ascii="仿宋_GB2312" w:eastAsia="仿宋_GB2312" w:hAnsi="仿宋_GB2312" w:cs="仿宋_GB2312" w:hint="eastAsia"/>
                <w:color w:val="000000"/>
                <w:sz w:val="20"/>
                <w:szCs w:val="20"/>
              </w:rPr>
              <w:lastRenderedPageBreak/>
              <w:t>余危险化学品应及时放回危险化学品储存场所。</w:t>
            </w:r>
          </w:p>
        </w:tc>
        <w:tc>
          <w:tcPr>
            <w:tcW w:w="3868" w:type="dxa"/>
            <w:tcBorders>
              <w:tl2br w:val="nil"/>
              <w:tr2bl w:val="nil"/>
            </w:tcBorders>
            <w:vAlign w:val="center"/>
          </w:tcPr>
          <w:p w14:paraId="0E67C9D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《实验室危险化学品安全管理要求 第1部分：工业企业》（DB11/T 1191.1-2025）第</w:t>
            </w:r>
            <w:r w:rsidRPr="00EF4836">
              <w:rPr>
                <w:rFonts w:ascii="仿宋_GB2312" w:eastAsia="仿宋_GB2312" w:hAnsi="仿宋_GB2312" w:cs="仿宋_GB2312" w:hint="eastAsia"/>
                <w:color w:val="000000"/>
                <w:sz w:val="20"/>
                <w:szCs w:val="20"/>
              </w:rPr>
              <w:lastRenderedPageBreak/>
              <w:t>8.3.1条；</w:t>
            </w:r>
          </w:p>
          <w:p w14:paraId="3EB664C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1191.2-2025）第7.2.2条；</w:t>
            </w:r>
          </w:p>
          <w:p w14:paraId="7644871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1191.3-2024）第7.2.1条f）</w:t>
            </w:r>
          </w:p>
        </w:tc>
        <w:tc>
          <w:tcPr>
            <w:tcW w:w="376" w:type="dxa"/>
            <w:tcBorders>
              <w:tl2br w:val="nil"/>
              <w:tr2bl w:val="nil"/>
            </w:tcBorders>
            <w:vAlign w:val="center"/>
          </w:tcPr>
          <w:p w14:paraId="3E009AE3"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6D0EFA10" w14:textId="77777777" w:rsidTr="008351BE">
        <w:trPr>
          <w:trHeight w:val="347"/>
          <w:jc w:val="center"/>
        </w:trPr>
        <w:tc>
          <w:tcPr>
            <w:tcW w:w="971" w:type="dxa"/>
            <w:tcBorders>
              <w:tl2br w:val="nil"/>
              <w:tr2bl w:val="nil"/>
            </w:tcBorders>
            <w:vAlign w:val="center"/>
          </w:tcPr>
          <w:p w14:paraId="733BB4A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15.2.03.030</w:t>
            </w:r>
          </w:p>
        </w:tc>
        <w:tc>
          <w:tcPr>
            <w:tcW w:w="1064" w:type="dxa"/>
            <w:tcBorders>
              <w:tl2br w:val="nil"/>
              <w:tr2bl w:val="nil"/>
            </w:tcBorders>
            <w:vAlign w:val="center"/>
          </w:tcPr>
          <w:p w14:paraId="548ED56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069E46D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辅助系统设备设施类</w:t>
            </w:r>
          </w:p>
        </w:tc>
        <w:tc>
          <w:tcPr>
            <w:tcW w:w="2861" w:type="dxa"/>
            <w:tcBorders>
              <w:tl2br w:val="nil"/>
              <w:tr2bl w:val="nil"/>
            </w:tcBorders>
            <w:vAlign w:val="center"/>
          </w:tcPr>
          <w:p w14:paraId="0111295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使用或可能产生对人体有害的化学试剂和腐蚀性物质的实验室，其排风系统利用建筑物的结构风道作为实验室排风系统的风道。</w:t>
            </w:r>
          </w:p>
          <w:p w14:paraId="0A6C742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危险化学品专用储存室、储存易燃气体、有毒气体的气瓶间内使用与其他房间相连的中央空调，未设置独立通风系统。</w:t>
            </w:r>
          </w:p>
        </w:tc>
        <w:tc>
          <w:tcPr>
            <w:tcW w:w="3889" w:type="dxa"/>
            <w:tcBorders>
              <w:tl2br w:val="nil"/>
              <w:tr2bl w:val="nil"/>
            </w:tcBorders>
            <w:vAlign w:val="center"/>
          </w:tcPr>
          <w:p w14:paraId="7DB1E6A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使用或可能产生对人体有害的化学试剂和腐蚀性物质的实验室，其排风系统不应利用建筑物的结构风道作为实验室排风系统的风道。</w:t>
            </w:r>
          </w:p>
          <w:p w14:paraId="2CEB314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危险化学品专用储存室、储存易燃气体、有毒气体的气瓶间内不应使用与其他房间相连的中央空调，应设置独立通风系统。</w:t>
            </w:r>
          </w:p>
        </w:tc>
        <w:tc>
          <w:tcPr>
            <w:tcW w:w="3868" w:type="dxa"/>
            <w:tcBorders>
              <w:tl2br w:val="nil"/>
              <w:tr2bl w:val="nil"/>
            </w:tcBorders>
            <w:vAlign w:val="center"/>
          </w:tcPr>
          <w:p w14:paraId="55CE82D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1191.3-2024）第5.2.4条</w:t>
            </w:r>
          </w:p>
        </w:tc>
        <w:tc>
          <w:tcPr>
            <w:tcW w:w="376" w:type="dxa"/>
            <w:tcBorders>
              <w:tl2br w:val="nil"/>
              <w:tr2bl w:val="nil"/>
            </w:tcBorders>
          </w:tcPr>
          <w:p w14:paraId="6E7DD987"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6AE1F73D" w14:textId="77777777" w:rsidTr="008351BE">
        <w:trPr>
          <w:trHeight w:val="347"/>
          <w:jc w:val="center"/>
        </w:trPr>
        <w:tc>
          <w:tcPr>
            <w:tcW w:w="971" w:type="dxa"/>
            <w:tcBorders>
              <w:tl2br w:val="nil"/>
              <w:tr2bl w:val="nil"/>
            </w:tcBorders>
            <w:vAlign w:val="center"/>
          </w:tcPr>
          <w:p w14:paraId="729C38E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15.2.03.031</w:t>
            </w:r>
          </w:p>
        </w:tc>
        <w:tc>
          <w:tcPr>
            <w:tcW w:w="1064" w:type="dxa"/>
            <w:tcBorders>
              <w:tl2br w:val="nil"/>
              <w:tr2bl w:val="nil"/>
            </w:tcBorders>
            <w:vAlign w:val="center"/>
          </w:tcPr>
          <w:p w14:paraId="6E4041A5"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322352A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辅助系统设备设施类</w:t>
            </w:r>
          </w:p>
        </w:tc>
        <w:tc>
          <w:tcPr>
            <w:tcW w:w="2861" w:type="dxa"/>
            <w:tcBorders>
              <w:tl2br w:val="nil"/>
              <w:tr2bl w:val="nil"/>
            </w:tcBorders>
          </w:tcPr>
          <w:p w14:paraId="10267FF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氢氧发生器设置场所不符合下列要求：a)在使用氢氧发生器时，</w:t>
            </w:r>
            <w:proofErr w:type="gramStart"/>
            <w:r w:rsidRPr="00EF4836">
              <w:rPr>
                <w:rFonts w:ascii="仿宋_GB2312" w:eastAsia="仿宋_GB2312" w:hAnsi="仿宋_GB2312" w:cs="仿宋_GB2312" w:hint="eastAsia"/>
                <w:color w:val="000000"/>
                <w:sz w:val="20"/>
                <w:szCs w:val="20"/>
              </w:rPr>
              <w:t>未即产即</w:t>
            </w:r>
            <w:proofErr w:type="gramEnd"/>
            <w:r w:rsidRPr="00EF4836">
              <w:rPr>
                <w:rFonts w:ascii="仿宋_GB2312" w:eastAsia="仿宋_GB2312" w:hAnsi="仿宋_GB2312" w:cs="仿宋_GB2312" w:hint="eastAsia"/>
                <w:color w:val="000000"/>
                <w:sz w:val="20"/>
                <w:szCs w:val="20"/>
              </w:rPr>
              <w:t>用，未禁止储存、压缩氢氧混合气。设备在超压或负压状态下运行；b) 氢氧发生器停止使用时，未按规定程序进行停机操作，未断开设备电源，未排空设备和管道内的氢氧混合气，未以氮气等对管道内的氢氧混合气进行有效的吹扫、置换； c) 场所内采用明火取暖，氢氧发生器未可靠</w:t>
            </w:r>
            <w:r w:rsidRPr="00EF4836">
              <w:rPr>
                <w:rFonts w:ascii="仿宋_GB2312" w:eastAsia="仿宋_GB2312" w:hAnsi="仿宋_GB2312" w:cs="仿宋_GB2312" w:hint="eastAsia"/>
                <w:color w:val="000000"/>
                <w:sz w:val="20"/>
                <w:szCs w:val="20"/>
              </w:rPr>
              <w:lastRenderedPageBreak/>
              <w:t>接地，接地电阻不小于4.0Ω。</w:t>
            </w:r>
          </w:p>
        </w:tc>
        <w:tc>
          <w:tcPr>
            <w:tcW w:w="3889" w:type="dxa"/>
            <w:tcBorders>
              <w:tl2br w:val="nil"/>
              <w:tr2bl w:val="nil"/>
            </w:tcBorders>
            <w:vAlign w:val="center"/>
          </w:tcPr>
          <w:p w14:paraId="3007585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氢氧发生器设置场所应符合下列要求： a) 在使用氢氧发生器时，应</w:t>
            </w:r>
            <w:proofErr w:type="gramStart"/>
            <w:r w:rsidRPr="00EF4836">
              <w:rPr>
                <w:rFonts w:ascii="仿宋_GB2312" w:eastAsia="仿宋_GB2312" w:hAnsi="仿宋_GB2312" w:cs="仿宋_GB2312" w:hint="eastAsia"/>
                <w:color w:val="000000"/>
                <w:sz w:val="20"/>
                <w:szCs w:val="20"/>
              </w:rPr>
              <w:t>即产即用</w:t>
            </w:r>
            <w:proofErr w:type="gramEnd"/>
            <w:r w:rsidRPr="00EF4836">
              <w:rPr>
                <w:rFonts w:ascii="仿宋_GB2312" w:eastAsia="仿宋_GB2312" w:hAnsi="仿宋_GB2312" w:cs="仿宋_GB2312" w:hint="eastAsia"/>
                <w:color w:val="000000"/>
                <w:sz w:val="20"/>
                <w:szCs w:val="20"/>
              </w:rPr>
              <w:t>，禁止储存、压缩氢氧混合气。设备不得在超压或负压状态下运行； b) 氢氧发生器停止使用时，首先按规定程序进行停机操作，断开设备电源，然后排空设备和管道内的氢氧混合气，并以氮气等对管道内的氢氧混合气进行有效的吹扫、置换； c) 场所内不应采用明火取暖，氢氧发生器应可靠接地，接地电阻应小于4.0Ω。</w:t>
            </w:r>
          </w:p>
        </w:tc>
        <w:tc>
          <w:tcPr>
            <w:tcW w:w="3868" w:type="dxa"/>
            <w:tcBorders>
              <w:tl2br w:val="nil"/>
              <w:tr2bl w:val="nil"/>
            </w:tcBorders>
            <w:vAlign w:val="center"/>
          </w:tcPr>
          <w:p w14:paraId="24D5750D" w14:textId="77777777" w:rsidR="00EF4836" w:rsidRPr="00EF4836" w:rsidRDefault="00EF4836" w:rsidP="008351BE">
            <w:pPr>
              <w:pStyle w:val="ae"/>
              <w:widowControl w:val="0"/>
              <w:suppressAutoHyphens/>
              <w:autoSpaceDE w:val="0"/>
              <w:autoSpaceDN w:val="0"/>
              <w:adjustRightInd w:val="0"/>
              <w:snapToGrid w:val="0"/>
              <w:spacing w:beforeLines="0" w:before="0" w:afterLines="0" w:after="0" w:line="240" w:lineRule="auto"/>
              <w:jc w:val="both"/>
              <w:outlineLvl w:val="9"/>
              <w:rPr>
                <w:rFonts w:ascii="仿宋_GB2312" w:eastAsia="仿宋_GB2312" w:hAnsi="仿宋_GB2312" w:cs="仿宋_GB2312" w:hint="eastAsia"/>
                <w:color w:val="000000"/>
                <w:kern w:val="2"/>
                <w:sz w:val="20"/>
                <w:szCs w:val="20"/>
              </w:rPr>
            </w:pPr>
            <w:r w:rsidRPr="00EF4836">
              <w:rPr>
                <w:rFonts w:ascii="仿宋_GB2312" w:eastAsia="仿宋_GB2312" w:hAnsi="仿宋_GB2312" w:cs="仿宋_GB2312" w:hint="eastAsia"/>
                <w:color w:val="000000"/>
                <w:kern w:val="2"/>
                <w:sz w:val="20"/>
                <w:szCs w:val="20"/>
              </w:rPr>
              <w:t>《实验室危险化学品安全管理要求 第3部分：科研单位》（DB11/T 1191.3-2024）第5.2.4条</w:t>
            </w:r>
          </w:p>
        </w:tc>
        <w:tc>
          <w:tcPr>
            <w:tcW w:w="376" w:type="dxa"/>
            <w:tcBorders>
              <w:tl2br w:val="nil"/>
              <w:tr2bl w:val="nil"/>
            </w:tcBorders>
          </w:tcPr>
          <w:p w14:paraId="2BF82CF8" w14:textId="77777777" w:rsidR="00EF4836" w:rsidRPr="00EF4836" w:rsidRDefault="00EF4836" w:rsidP="008351BE">
            <w:pPr>
              <w:widowControl/>
              <w:adjustRightInd w:val="0"/>
              <w:snapToGrid w:val="0"/>
              <w:jc w:val="center"/>
              <w:rPr>
                <w:rFonts w:ascii="仿宋_GB2312" w:eastAsia="仿宋_GB2312" w:hAnsi="仿宋_GB2312" w:cs="仿宋_GB2312" w:hint="eastAsia"/>
                <w:color w:val="000000"/>
                <w:sz w:val="20"/>
                <w:szCs w:val="20"/>
              </w:rPr>
            </w:pPr>
          </w:p>
        </w:tc>
      </w:tr>
      <w:tr w:rsidR="00EF4836" w:rsidRPr="00EF4836" w14:paraId="2EF8AEB6" w14:textId="77777777" w:rsidTr="008351BE">
        <w:trPr>
          <w:trHeight w:val="347"/>
          <w:jc w:val="center"/>
        </w:trPr>
        <w:tc>
          <w:tcPr>
            <w:tcW w:w="971" w:type="dxa"/>
            <w:tcBorders>
              <w:tl2br w:val="nil"/>
              <w:tr2bl w:val="nil"/>
            </w:tcBorders>
            <w:vAlign w:val="center"/>
          </w:tcPr>
          <w:p w14:paraId="79D6D47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15.2.03.032</w:t>
            </w:r>
          </w:p>
        </w:tc>
        <w:tc>
          <w:tcPr>
            <w:tcW w:w="1064" w:type="dxa"/>
            <w:tcBorders>
              <w:tl2br w:val="nil"/>
              <w:tr2bl w:val="nil"/>
            </w:tcBorders>
            <w:vAlign w:val="center"/>
          </w:tcPr>
          <w:p w14:paraId="41A2F75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23F85B9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辅助系统设备设施类</w:t>
            </w:r>
          </w:p>
        </w:tc>
        <w:tc>
          <w:tcPr>
            <w:tcW w:w="2861" w:type="dxa"/>
            <w:tcBorders>
              <w:tl2br w:val="nil"/>
              <w:tr2bl w:val="nil"/>
            </w:tcBorders>
          </w:tcPr>
          <w:p w14:paraId="09DD86A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液氧的储存、汽化、充装、使用场所周边20m内有明火，未在醒目位置设置禁火标志；场所周边5m内有通向低处场所（如地下室、坑穴、地井、沟渠）的开口，地沟入口处未设置</w:t>
            </w:r>
            <w:proofErr w:type="gramStart"/>
            <w:r w:rsidRPr="00EF4836">
              <w:rPr>
                <w:rFonts w:ascii="仿宋_GB2312" w:eastAsia="仿宋_GB2312" w:hAnsi="仿宋_GB2312" w:cs="仿宋_GB2312" w:hint="eastAsia"/>
                <w:color w:val="000000"/>
                <w:sz w:val="20"/>
                <w:szCs w:val="20"/>
              </w:rPr>
              <w:t>挡液堰</w:t>
            </w:r>
            <w:proofErr w:type="gramEnd"/>
            <w:r w:rsidRPr="00EF4836">
              <w:rPr>
                <w:rFonts w:ascii="仿宋_GB2312" w:eastAsia="仿宋_GB2312" w:hAnsi="仿宋_GB2312" w:cs="仿宋_GB2312" w:hint="eastAsia"/>
                <w:color w:val="000000"/>
                <w:sz w:val="20"/>
                <w:szCs w:val="20"/>
              </w:rPr>
              <w:t>。</w:t>
            </w:r>
          </w:p>
        </w:tc>
        <w:tc>
          <w:tcPr>
            <w:tcW w:w="3889" w:type="dxa"/>
            <w:tcBorders>
              <w:tl2br w:val="nil"/>
              <w:tr2bl w:val="nil"/>
            </w:tcBorders>
            <w:vAlign w:val="center"/>
          </w:tcPr>
          <w:p w14:paraId="1284226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液氧的储存、汽化、充装、使用场所周边20m内不应有明火，并应在醒目位置设置禁火标志；场所周边5m内不得有通向低处场所（如地下室、坑穴、地井、沟渠）的开口，地沟入口处应设置</w:t>
            </w:r>
            <w:proofErr w:type="gramStart"/>
            <w:r w:rsidRPr="00EF4836">
              <w:rPr>
                <w:rFonts w:ascii="仿宋_GB2312" w:eastAsia="仿宋_GB2312" w:hAnsi="仿宋_GB2312" w:cs="仿宋_GB2312" w:hint="eastAsia"/>
                <w:color w:val="000000"/>
                <w:sz w:val="20"/>
                <w:szCs w:val="20"/>
              </w:rPr>
              <w:t>挡液堰</w:t>
            </w:r>
            <w:proofErr w:type="gramEnd"/>
            <w:r w:rsidRPr="00EF4836">
              <w:rPr>
                <w:rFonts w:ascii="仿宋_GB2312" w:eastAsia="仿宋_GB2312" w:hAnsi="仿宋_GB2312" w:cs="仿宋_GB2312" w:hint="eastAsia"/>
                <w:color w:val="000000"/>
                <w:sz w:val="20"/>
                <w:szCs w:val="20"/>
              </w:rPr>
              <w:t>。</w:t>
            </w:r>
          </w:p>
          <w:p w14:paraId="7229239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p>
        </w:tc>
        <w:tc>
          <w:tcPr>
            <w:tcW w:w="3868" w:type="dxa"/>
            <w:tcBorders>
              <w:tl2br w:val="nil"/>
              <w:tr2bl w:val="nil"/>
            </w:tcBorders>
          </w:tcPr>
          <w:p w14:paraId="2F47EF1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1191.3-2024）第5.3.8条</w:t>
            </w:r>
          </w:p>
          <w:p w14:paraId="75AD047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p>
        </w:tc>
        <w:tc>
          <w:tcPr>
            <w:tcW w:w="376" w:type="dxa"/>
            <w:tcBorders>
              <w:tl2br w:val="nil"/>
              <w:tr2bl w:val="nil"/>
            </w:tcBorders>
          </w:tcPr>
          <w:p w14:paraId="0991871A"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38C20D6D" w14:textId="77777777" w:rsidTr="008351BE">
        <w:trPr>
          <w:trHeight w:val="473"/>
          <w:jc w:val="center"/>
        </w:trPr>
        <w:tc>
          <w:tcPr>
            <w:tcW w:w="14118" w:type="dxa"/>
            <w:gridSpan w:val="7"/>
            <w:tcBorders>
              <w:tl2br w:val="nil"/>
              <w:tr2bl w:val="nil"/>
            </w:tcBorders>
            <w:shd w:val="clear" w:color="auto" w:fill="95B3D7"/>
            <w:vAlign w:val="center"/>
          </w:tcPr>
          <w:p w14:paraId="155353C9"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r w:rsidRPr="00EF4836">
              <w:rPr>
                <w:rFonts w:ascii="仿宋_GB2312" w:eastAsia="仿宋_GB2312" w:hAnsi="仿宋_GB2312" w:cs="仿宋_GB2312" w:hint="eastAsia"/>
                <w:b/>
                <w:color w:val="000000"/>
                <w:kern w:val="0"/>
                <w:sz w:val="20"/>
                <w:szCs w:val="20"/>
                <w:lang w:bidi="ar"/>
              </w:rPr>
              <w:t>安全设施管理</w:t>
            </w:r>
          </w:p>
        </w:tc>
      </w:tr>
      <w:tr w:rsidR="00EF4836" w:rsidRPr="00EF4836" w14:paraId="5EAAEEEA" w14:textId="77777777" w:rsidTr="008351BE">
        <w:trPr>
          <w:trHeight w:val="347"/>
          <w:jc w:val="center"/>
        </w:trPr>
        <w:tc>
          <w:tcPr>
            <w:tcW w:w="971" w:type="dxa"/>
            <w:tcBorders>
              <w:tl2br w:val="nil"/>
              <w:tr2bl w:val="nil"/>
            </w:tcBorders>
            <w:vAlign w:val="center"/>
          </w:tcPr>
          <w:p w14:paraId="0789EC6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15.2.11.033</w:t>
            </w:r>
          </w:p>
        </w:tc>
        <w:tc>
          <w:tcPr>
            <w:tcW w:w="1064" w:type="dxa"/>
            <w:tcBorders>
              <w:tl2br w:val="nil"/>
              <w:tr2bl w:val="nil"/>
            </w:tcBorders>
            <w:vAlign w:val="center"/>
          </w:tcPr>
          <w:p w14:paraId="513F3B8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01DAA905"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其他设备设施类</w:t>
            </w:r>
          </w:p>
        </w:tc>
        <w:tc>
          <w:tcPr>
            <w:tcW w:w="2861" w:type="dxa"/>
            <w:tcBorders>
              <w:tl2br w:val="nil"/>
              <w:tr2bl w:val="nil"/>
            </w:tcBorders>
            <w:vAlign w:val="center"/>
          </w:tcPr>
          <w:p w14:paraId="3C92E08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易燃易爆危险化学品储存场所、气瓶间外的出入口外未设置人体静电释放装置。</w:t>
            </w:r>
          </w:p>
        </w:tc>
        <w:tc>
          <w:tcPr>
            <w:tcW w:w="3889" w:type="dxa"/>
            <w:tcBorders>
              <w:tl2br w:val="nil"/>
              <w:tr2bl w:val="nil"/>
            </w:tcBorders>
            <w:vAlign w:val="center"/>
          </w:tcPr>
          <w:p w14:paraId="69BCB8B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易燃易爆危险化学品储存场所、气瓶间外的出入口外应设置人体静电释放装置。</w:t>
            </w:r>
          </w:p>
        </w:tc>
        <w:tc>
          <w:tcPr>
            <w:tcW w:w="3868" w:type="dxa"/>
            <w:tcBorders>
              <w:tl2br w:val="nil"/>
              <w:tr2bl w:val="nil"/>
            </w:tcBorders>
            <w:vAlign w:val="center"/>
          </w:tcPr>
          <w:p w14:paraId="080655B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1191.1-2025）第6.9条；</w:t>
            </w:r>
          </w:p>
          <w:p w14:paraId="7613FBA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1191.2-2025）第5.1.1条；</w:t>
            </w:r>
          </w:p>
          <w:p w14:paraId="77AA97F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1191.3-2024）第6.4.2条</w:t>
            </w:r>
          </w:p>
        </w:tc>
        <w:tc>
          <w:tcPr>
            <w:tcW w:w="376" w:type="dxa"/>
            <w:tcBorders>
              <w:tl2br w:val="nil"/>
              <w:tr2bl w:val="nil"/>
            </w:tcBorders>
            <w:vAlign w:val="center"/>
          </w:tcPr>
          <w:p w14:paraId="66943465"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55DACFFD" w14:textId="77777777" w:rsidTr="008351BE">
        <w:trPr>
          <w:trHeight w:val="347"/>
          <w:jc w:val="center"/>
        </w:trPr>
        <w:tc>
          <w:tcPr>
            <w:tcW w:w="971" w:type="dxa"/>
            <w:tcBorders>
              <w:tl2br w:val="nil"/>
              <w:tr2bl w:val="nil"/>
            </w:tcBorders>
            <w:vAlign w:val="center"/>
          </w:tcPr>
          <w:p w14:paraId="5E9C7A3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15.2.09.034</w:t>
            </w:r>
          </w:p>
        </w:tc>
        <w:tc>
          <w:tcPr>
            <w:tcW w:w="1064" w:type="dxa"/>
            <w:tcBorders>
              <w:tl2br w:val="nil"/>
              <w:tr2bl w:val="nil"/>
            </w:tcBorders>
            <w:vAlign w:val="center"/>
          </w:tcPr>
          <w:p w14:paraId="340AAAA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1842053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监控系统类</w:t>
            </w:r>
          </w:p>
        </w:tc>
        <w:tc>
          <w:tcPr>
            <w:tcW w:w="2861" w:type="dxa"/>
            <w:tcBorders>
              <w:tl2br w:val="nil"/>
              <w:tr2bl w:val="nil"/>
            </w:tcBorders>
            <w:vAlign w:val="center"/>
          </w:tcPr>
          <w:p w14:paraId="37CDDC94" w14:textId="77777777" w:rsidR="00EF4836" w:rsidRPr="00EF4836" w:rsidRDefault="00EF4836" w:rsidP="008351BE">
            <w:pPr>
              <w:pStyle w:val="ae"/>
              <w:widowControl w:val="0"/>
              <w:autoSpaceDE w:val="0"/>
              <w:autoSpaceDN w:val="0"/>
              <w:adjustRightInd w:val="0"/>
              <w:snapToGrid w:val="0"/>
              <w:spacing w:beforeLines="0" w:before="0" w:afterLines="0" w:after="0" w:line="240" w:lineRule="auto"/>
              <w:jc w:val="both"/>
              <w:outlineLvl w:val="9"/>
              <w:rPr>
                <w:rFonts w:ascii="仿宋_GB2312" w:eastAsia="仿宋_GB2312" w:hAnsi="仿宋_GB2312" w:cs="仿宋_GB2312" w:hint="eastAsia"/>
                <w:color w:val="000000"/>
                <w:kern w:val="2"/>
                <w:sz w:val="20"/>
                <w:szCs w:val="20"/>
              </w:rPr>
            </w:pPr>
            <w:r w:rsidRPr="00EF4836">
              <w:rPr>
                <w:rFonts w:ascii="仿宋_GB2312" w:eastAsia="仿宋_GB2312" w:hAnsi="仿宋_GB2312" w:cs="仿宋_GB2312" w:hint="eastAsia"/>
                <w:color w:val="000000"/>
                <w:kern w:val="2"/>
                <w:sz w:val="20"/>
                <w:szCs w:val="20"/>
              </w:rPr>
              <w:t>工业企业可能散发可燃气体、有毒气体的场所未设置可燃、有毒气体探测器；可能导致环境氧气浓度变化的场所未设置氧气探测器；探测器的终端未设置UPS备用电源和防雷插座。</w:t>
            </w:r>
          </w:p>
          <w:p w14:paraId="6F93E0F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或大量使用危险气体且无气体浓度报警措施或通风设施不合格。</w:t>
            </w:r>
          </w:p>
          <w:p w14:paraId="1729932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普通高等学校涉及可燃和有毒有害气体泄漏的场所未按国家标准设置检测报警装置，爆炸危险场所未按国家标准安装使用防爆电气设备。</w:t>
            </w:r>
          </w:p>
        </w:tc>
        <w:tc>
          <w:tcPr>
            <w:tcW w:w="3889" w:type="dxa"/>
            <w:tcBorders>
              <w:tl2br w:val="nil"/>
              <w:tr2bl w:val="nil"/>
            </w:tcBorders>
            <w:vAlign w:val="center"/>
          </w:tcPr>
          <w:p w14:paraId="310041E0" w14:textId="77777777" w:rsidR="00EF4836" w:rsidRPr="00EF4836" w:rsidRDefault="00EF4836" w:rsidP="008351BE">
            <w:pPr>
              <w:pStyle w:val="ae"/>
              <w:widowControl w:val="0"/>
              <w:autoSpaceDE w:val="0"/>
              <w:autoSpaceDN w:val="0"/>
              <w:adjustRightInd w:val="0"/>
              <w:snapToGrid w:val="0"/>
              <w:spacing w:beforeLines="0" w:before="0" w:afterLines="0" w:after="0" w:line="240" w:lineRule="auto"/>
              <w:jc w:val="both"/>
              <w:outlineLvl w:val="9"/>
              <w:rPr>
                <w:rFonts w:ascii="仿宋_GB2312" w:eastAsia="仿宋_GB2312" w:hAnsi="仿宋_GB2312" w:cs="仿宋_GB2312" w:hint="eastAsia"/>
                <w:color w:val="000000"/>
                <w:kern w:val="2"/>
                <w:sz w:val="20"/>
                <w:szCs w:val="20"/>
              </w:rPr>
            </w:pPr>
            <w:r w:rsidRPr="00EF4836">
              <w:rPr>
                <w:rFonts w:ascii="仿宋_GB2312" w:eastAsia="仿宋_GB2312" w:hAnsi="仿宋_GB2312" w:cs="仿宋_GB2312" w:hint="eastAsia"/>
                <w:color w:val="000000"/>
                <w:kern w:val="2"/>
                <w:sz w:val="20"/>
                <w:szCs w:val="20"/>
              </w:rPr>
              <w:lastRenderedPageBreak/>
              <w:t>实验室、危险化学品储存场所可能散发可燃气体、有毒气体的场所，应根据气体的特性设置可燃、有毒气体探测器。可能导致环境氧气浓度变化的场所，应设置氧气探测器，安装</w:t>
            </w:r>
            <w:proofErr w:type="gramStart"/>
            <w:r w:rsidRPr="00EF4836">
              <w:rPr>
                <w:rFonts w:ascii="仿宋_GB2312" w:eastAsia="仿宋_GB2312" w:hAnsi="仿宋_GB2312" w:cs="仿宋_GB2312" w:hint="eastAsia"/>
                <w:color w:val="000000"/>
                <w:kern w:val="2"/>
                <w:sz w:val="20"/>
                <w:szCs w:val="20"/>
              </w:rPr>
              <w:t>高度宜距地坪</w:t>
            </w:r>
            <w:proofErr w:type="gramEnd"/>
            <w:r w:rsidRPr="00EF4836">
              <w:rPr>
                <w:rFonts w:ascii="仿宋_GB2312" w:eastAsia="仿宋_GB2312" w:hAnsi="仿宋_GB2312" w:cs="仿宋_GB2312" w:hint="eastAsia"/>
                <w:color w:val="000000"/>
                <w:kern w:val="2"/>
                <w:sz w:val="20"/>
                <w:szCs w:val="20"/>
              </w:rPr>
              <w:t>或楼地板1.5m～2.0m。探测器的终端应设置备用电源，并</w:t>
            </w:r>
            <w:proofErr w:type="gramStart"/>
            <w:r w:rsidRPr="00EF4836">
              <w:rPr>
                <w:rFonts w:ascii="仿宋_GB2312" w:eastAsia="仿宋_GB2312" w:hAnsi="仿宋_GB2312" w:cs="仿宋_GB2312" w:hint="eastAsia"/>
                <w:color w:val="000000"/>
                <w:kern w:val="2"/>
                <w:sz w:val="20"/>
                <w:szCs w:val="20"/>
              </w:rPr>
              <w:t>宜符合</w:t>
            </w:r>
            <w:proofErr w:type="gramEnd"/>
            <w:r w:rsidRPr="00EF4836">
              <w:rPr>
                <w:rFonts w:ascii="仿宋_GB2312" w:eastAsia="仿宋_GB2312" w:hAnsi="仿宋_GB2312" w:cs="仿宋_GB2312" w:hint="eastAsia"/>
                <w:color w:val="000000"/>
                <w:kern w:val="2"/>
                <w:sz w:val="20"/>
                <w:szCs w:val="20"/>
              </w:rPr>
              <w:t>GB 16808的要求。</w:t>
            </w:r>
          </w:p>
          <w:p w14:paraId="71EBF30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大量使用危险气体且无气体浓度报警措施或通风设施不合格</w:t>
            </w:r>
          </w:p>
          <w:p w14:paraId="03D67C4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存在可燃或有毒气体泄漏风险的场所未按设计要求设置气体探测器或气体探测器功能失效；GDS未 投入使用。</w:t>
            </w:r>
          </w:p>
          <w:p w14:paraId="56698C13" w14:textId="08007C2C"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第六条（九）实验室（实训场所）内超量存放危险化学品；或大量使用危险气体且无气体浓度报警措施或通风设施不合格；或超</w:t>
            </w:r>
            <w:proofErr w:type="gramStart"/>
            <w:r w:rsidRPr="00EF4836">
              <w:rPr>
                <w:rFonts w:ascii="仿宋_GB2312" w:eastAsia="仿宋_GB2312" w:hAnsi="仿宋_GB2312" w:cs="仿宋_GB2312" w:hint="eastAsia"/>
                <w:color w:val="000000"/>
                <w:sz w:val="20"/>
                <w:szCs w:val="20"/>
              </w:rPr>
              <w:t>规</w:t>
            </w:r>
            <w:proofErr w:type="gramEnd"/>
            <w:r w:rsidRPr="00EF4836">
              <w:rPr>
                <w:rFonts w:ascii="仿宋_GB2312" w:eastAsia="仿宋_GB2312" w:hAnsi="仿宋_GB2312" w:cs="仿宋_GB2312" w:hint="eastAsia"/>
                <w:color w:val="000000"/>
                <w:sz w:val="20"/>
                <w:szCs w:val="20"/>
              </w:rPr>
              <w:t>使用危险设备尤其是大型设备的。</w:t>
            </w:r>
          </w:p>
        </w:tc>
        <w:tc>
          <w:tcPr>
            <w:tcW w:w="3868" w:type="dxa"/>
            <w:tcBorders>
              <w:tl2br w:val="nil"/>
              <w:tr2bl w:val="nil"/>
            </w:tcBorders>
            <w:vAlign w:val="center"/>
          </w:tcPr>
          <w:p w14:paraId="2A2F932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《中华人民共和国安全生产法》第三十六条；</w:t>
            </w:r>
          </w:p>
          <w:p w14:paraId="7E2D7910" w14:textId="77777777" w:rsidR="00EF4836" w:rsidRPr="00EF4836" w:rsidRDefault="00EF4836" w:rsidP="008351BE">
            <w:pPr>
              <w:autoSpaceDE w:val="0"/>
              <w:autoSpaceDN w:val="0"/>
              <w:adjustRightInd w:val="0"/>
              <w:snapToGrid w:val="0"/>
              <w:ind w:left="200" w:hangingChars="100" w:hanging="20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《建筑设计防火规范（2018年版）》（GB 50016-2014）第8.4.3条；</w:t>
            </w:r>
          </w:p>
          <w:p w14:paraId="318A4D9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《化工和危险化学品企业重大生产安全事故隐患判定准则（征求意见稿）》第5.4.2；</w:t>
            </w:r>
          </w:p>
          <w:p w14:paraId="21CFF14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1191.1-2025）第6.1、6.2条；</w:t>
            </w:r>
          </w:p>
          <w:p w14:paraId="4167EC9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《实验室危险化学品安全管理要求 第2部分：普通高等学校》（DB11/T 1191.2-2025）第5.1.7条；</w:t>
            </w:r>
          </w:p>
          <w:p w14:paraId="4AEC0E6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《教育系统重大事故隐患判定指南》第六条（九）</w:t>
            </w:r>
          </w:p>
          <w:p w14:paraId="5CF0A1E9" w14:textId="77777777" w:rsidR="00EF4836" w:rsidRPr="00EF4836" w:rsidRDefault="00EF4836" w:rsidP="008351BE">
            <w:pPr>
              <w:pStyle w:val="ae"/>
              <w:widowControl w:val="0"/>
              <w:suppressAutoHyphens/>
              <w:autoSpaceDE w:val="0"/>
              <w:autoSpaceDN w:val="0"/>
              <w:adjustRightInd w:val="0"/>
              <w:snapToGrid w:val="0"/>
              <w:spacing w:beforeLines="0" w:before="0" w:afterLines="0" w:after="0" w:line="240" w:lineRule="auto"/>
              <w:jc w:val="both"/>
              <w:outlineLvl w:val="9"/>
              <w:rPr>
                <w:rFonts w:ascii="仿宋_GB2312" w:eastAsia="仿宋_GB2312" w:hAnsi="仿宋_GB2312" w:cs="仿宋_GB2312" w:hint="eastAsia"/>
                <w:color w:val="000000"/>
                <w:kern w:val="2"/>
                <w:sz w:val="20"/>
                <w:szCs w:val="20"/>
              </w:rPr>
            </w:pPr>
            <w:r w:rsidRPr="00EF4836">
              <w:rPr>
                <w:rFonts w:ascii="仿宋_GB2312" w:eastAsia="仿宋_GB2312" w:hAnsi="仿宋_GB2312" w:cs="仿宋_GB2312" w:hint="eastAsia"/>
                <w:color w:val="000000"/>
                <w:kern w:val="2"/>
                <w:sz w:val="20"/>
                <w:szCs w:val="20"/>
              </w:rPr>
              <w:t>《实验室危险化学品安全管理要求 第3部分：科研单位》（DB11/T 1191.3-2024）第6.1.2、6.1.3、6.1.4条</w:t>
            </w:r>
          </w:p>
        </w:tc>
        <w:tc>
          <w:tcPr>
            <w:tcW w:w="376" w:type="dxa"/>
            <w:tcBorders>
              <w:tl2br w:val="nil"/>
              <w:tr2bl w:val="nil"/>
            </w:tcBorders>
            <w:vAlign w:val="center"/>
          </w:tcPr>
          <w:p w14:paraId="16805F75"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r w:rsidRPr="00EF4836">
              <w:rPr>
                <w:rFonts w:ascii="仿宋_GB2312" w:eastAsia="仿宋_GB2312" w:hAnsi="仿宋_GB2312" w:cs="仿宋_GB2312" w:hint="eastAsia"/>
                <w:b/>
                <w:color w:val="000000"/>
                <w:kern w:val="0"/>
                <w:sz w:val="20"/>
                <w:szCs w:val="20"/>
              </w:rPr>
              <w:lastRenderedPageBreak/>
              <w:t>★1；★2</w:t>
            </w:r>
          </w:p>
        </w:tc>
      </w:tr>
      <w:tr w:rsidR="00EF4836" w:rsidRPr="00EF4836" w14:paraId="59C5AFA5" w14:textId="77777777" w:rsidTr="008351BE">
        <w:trPr>
          <w:trHeight w:val="347"/>
          <w:jc w:val="center"/>
        </w:trPr>
        <w:tc>
          <w:tcPr>
            <w:tcW w:w="971" w:type="dxa"/>
            <w:tcBorders>
              <w:tl2br w:val="nil"/>
              <w:tr2bl w:val="nil"/>
            </w:tcBorders>
            <w:vAlign w:val="center"/>
          </w:tcPr>
          <w:p w14:paraId="4669F780"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15.2.09.035</w:t>
            </w:r>
          </w:p>
        </w:tc>
        <w:tc>
          <w:tcPr>
            <w:tcW w:w="1064" w:type="dxa"/>
            <w:tcBorders>
              <w:tl2br w:val="nil"/>
              <w:tr2bl w:val="nil"/>
            </w:tcBorders>
            <w:vAlign w:val="center"/>
          </w:tcPr>
          <w:p w14:paraId="6A48B420"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02332C8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监控系统类</w:t>
            </w:r>
          </w:p>
        </w:tc>
        <w:tc>
          <w:tcPr>
            <w:tcW w:w="2861" w:type="dxa"/>
            <w:tcBorders>
              <w:tl2br w:val="nil"/>
              <w:tr2bl w:val="nil"/>
            </w:tcBorders>
            <w:vAlign w:val="center"/>
          </w:tcPr>
          <w:p w14:paraId="00402F6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探测器无现场报警功能，未与风机</w:t>
            </w:r>
            <w:proofErr w:type="gramStart"/>
            <w:r w:rsidRPr="00EF4836">
              <w:rPr>
                <w:rFonts w:ascii="仿宋_GB2312" w:eastAsia="仿宋_GB2312" w:hAnsi="仿宋_GB2312" w:cs="仿宋_GB2312" w:hint="eastAsia"/>
                <w:color w:val="000000"/>
                <w:sz w:val="20"/>
                <w:szCs w:val="20"/>
              </w:rPr>
              <w:t>联锁</w:t>
            </w:r>
            <w:proofErr w:type="gramEnd"/>
            <w:r w:rsidRPr="00EF4836">
              <w:rPr>
                <w:rFonts w:ascii="仿宋_GB2312" w:eastAsia="仿宋_GB2312" w:hAnsi="仿宋_GB2312" w:cs="仿宋_GB2312" w:hint="eastAsia"/>
                <w:color w:val="000000"/>
                <w:sz w:val="20"/>
                <w:szCs w:val="20"/>
              </w:rPr>
              <w:t>，信号未传到24h有人值班的房间或相关负责人的移动终端；探测器的终端未设置备用电源。</w:t>
            </w:r>
          </w:p>
        </w:tc>
        <w:tc>
          <w:tcPr>
            <w:tcW w:w="3889" w:type="dxa"/>
            <w:tcBorders>
              <w:tl2br w:val="nil"/>
              <w:tr2bl w:val="nil"/>
            </w:tcBorders>
            <w:vAlign w:val="center"/>
          </w:tcPr>
          <w:p w14:paraId="39666B2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各类探测器应有现场报警功能，并应与风机</w:t>
            </w:r>
            <w:proofErr w:type="gramStart"/>
            <w:r w:rsidRPr="00EF4836">
              <w:rPr>
                <w:rFonts w:ascii="仿宋_GB2312" w:eastAsia="仿宋_GB2312" w:hAnsi="仿宋_GB2312" w:cs="仿宋_GB2312" w:hint="eastAsia"/>
                <w:color w:val="000000"/>
                <w:sz w:val="20"/>
                <w:szCs w:val="20"/>
              </w:rPr>
              <w:t>联锁</w:t>
            </w:r>
            <w:proofErr w:type="gramEnd"/>
            <w:r w:rsidRPr="00EF4836">
              <w:rPr>
                <w:rFonts w:ascii="仿宋_GB2312" w:eastAsia="仿宋_GB2312" w:hAnsi="仿宋_GB2312" w:cs="仿宋_GB2312" w:hint="eastAsia"/>
                <w:color w:val="000000"/>
                <w:sz w:val="20"/>
                <w:szCs w:val="20"/>
              </w:rPr>
              <w:t>，信号应能传到24h有人值班的房间或相关负责人的移动终端。探测器的终端应设置备用电源，并</w:t>
            </w:r>
            <w:proofErr w:type="gramStart"/>
            <w:r w:rsidRPr="00EF4836">
              <w:rPr>
                <w:rFonts w:ascii="仿宋_GB2312" w:eastAsia="仿宋_GB2312" w:hAnsi="仿宋_GB2312" w:cs="仿宋_GB2312" w:hint="eastAsia"/>
                <w:color w:val="000000"/>
                <w:sz w:val="20"/>
                <w:szCs w:val="20"/>
              </w:rPr>
              <w:t>宜符合</w:t>
            </w:r>
            <w:proofErr w:type="gramEnd"/>
            <w:r w:rsidRPr="00EF4836">
              <w:rPr>
                <w:rFonts w:ascii="仿宋_GB2312" w:eastAsia="仿宋_GB2312" w:hAnsi="仿宋_GB2312" w:cs="仿宋_GB2312" w:hint="eastAsia"/>
                <w:color w:val="000000"/>
                <w:sz w:val="20"/>
                <w:szCs w:val="20"/>
              </w:rPr>
              <w:t>GB 16808的要求。</w:t>
            </w:r>
          </w:p>
        </w:tc>
        <w:tc>
          <w:tcPr>
            <w:tcW w:w="3868" w:type="dxa"/>
            <w:tcBorders>
              <w:tl2br w:val="nil"/>
              <w:tr2bl w:val="nil"/>
            </w:tcBorders>
            <w:vAlign w:val="center"/>
          </w:tcPr>
          <w:p w14:paraId="292918D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1191.1-2025）第6.2条；</w:t>
            </w:r>
          </w:p>
          <w:p w14:paraId="28A9E43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1191.2-2025）第5.1.7条；</w:t>
            </w:r>
          </w:p>
          <w:p w14:paraId="18A4E71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1191.3-2024）第6.1.3条</w:t>
            </w:r>
          </w:p>
        </w:tc>
        <w:tc>
          <w:tcPr>
            <w:tcW w:w="376" w:type="dxa"/>
            <w:tcBorders>
              <w:tl2br w:val="nil"/>
              <w:tr2bl w:val="nil"/>
            </w:tcBorders>
            <w:vAlign w:val="center"/>
          </w:tcPr>
          <w:p w14:paraId="0942911D"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2655FA31" w14:textId="77777777" w:rsidTr="008351BE">
        <w:trPr>
          <w:trHeight w:val="347"/>
          <w:jc w:val="center"/>
        </w:trPr>
        <w:tc>
          <w:tcPr>
            <w:tcW w:w="971" w:type="dxa"/>
            <w:tcBorders>
              <w:tl2br w:val="nil"/>
              <w:tr2bl w:val="nil"/>
            </w:tcBorders>
            <w:vAlign w:val="center"/>
          </w:tcPr>
          <w:p w14:paraId="0FF029EE"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15.4.04.036</w:t>
            </w:r>
          </w:p>
        </w:tc>
        <w:tc>
          <w:tcPr>
            <w:tcW w:w="1064" w:type="dxa"/>
            <w:tcBorders>
              <w:tl2br w:val="nil"/>
              <w:tr2bl w:val="nil"/>
            </w:tcBorders>
            <w:vAlign w:val="center"/>
          </w:tcPr>
          <w:p w14:paraId="0B8552E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14CA075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作业环境类</w:t>
            </w:r>
          </w:p>
        </w:tc>
        <w:tc>
          <w:tcPr>
            <w:tcW w:w="2861" w:type="dxa"/>
            <w:tcBorders>
              <w:tl2br w:val="nil"/>
              <w:tr2bl w:val="nil"/>
            </w:tcBorders>
            <w:vAlign w:val="center"/>
          </w:tcPr>
          <w:p w14:paraId="2587660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实验室、危险化学品储存场所未设置通风设施；设置位置和换气次数不符合要求。</w:t>
            </w:r>
          </w:p>
        </w:tc>
        <w:tc>
          <w:tcPr>
            <w:tcW w:w="3889" w:type="dxa"/>
            <w:tcBorders>
              <w:tl2br w:val="nil"/>
              <w:tr2bl w:val="nil"/>
            </w:tcBorders>
            <w:vAlign w:val="center"/>
          </w:tcPr>
          <w:p w14:paraId="5661C57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实验室、危险化学品储存场所应设置通风设施，通风设施吸风口宜设在散发气体可能最大或聚集最多的地点。机械通风正常通风换气次数不少于6次/h，事故排风换气次数不应少于12次/h。</w:t>
            </w:r>
          </w:p>
        </w:tc>
        <w:tc>
          <w:tcPr>
            <w:tcW w:w="3868" w:type="dxa"/>
            <w:tcBorders>
              <w:tl2br w:val="nil"/>
              <w:tr2bl w:val="nil"/>
            </w:tcBorders>
            <w:vAlign w:val="center"/>
          </w:tcPr>
          <w:p w14:paraId="7FE1B63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1191.1-2025）第6.3条；</w:t>
            </w:r>
          </w:p>
          <w:p w14:paraId="1118D84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1191.2-2025）第5.1.6条；</w:t>
            </w:r>
          </w:p>
          <w:p w14:paraId="012D72A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1191.3-2024）第6.1.5条</w:t>
            </w:r>
          </w:p>
        </w:tc>
        <w:tc>
          <w:tcPr>
            <w:tcW w:w="376" w:type="dxa"/>
            <w:tcBorders>
              <w:tl2br w:val="nil"/>
              <w:tr2bl w:val="nil"/>
            </w:tcBorders>
            <w:vAlign w:val="center"/>
          </w:tcPr>
          <w:p w14:paraId="47947B96"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387121B0" w14:textId="77777777" w:rsidTr="008351BE">
        <w:trPr>
          <w:trHeight w:val="347"/>
          <w:jc w:val="center"/>
        </w:trPr>
        <w:tc>
          <w:tcPr>
            <w:tcW w:w="971" w:type="dxa"/>
            <w:tcBorders>
              <w:tl2br w:val="nil"/>
              <w:tr2bl w:val="nil"/>
            </w:tcBorders>
            <w:vAlign w:val="center"/>
          </w:tcPr>
          <w:p w14:paraId="4B6C00C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15.3.03.037</w:t>
            </w:r>
          </w:p>
        </w:tc>
        <w:tc>
          <w:tcPr>
            <w:tcW w:w="1064" w:type="dxa"/>
            <w:tcBorders>
              <w:tl2br w:val="nil"/>
              <w:tr2bl w:val="nil"/>
            </w:tcBorders>
            <w:vAlign w:val="center"/>
          </w:tcPr>
          <w:p w14:paraId="0967412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人员类</w:t>
            </w:r>
          </w:p>
        </w:tc>
        <w:tc>
          <w:tcPr>
            <w:tcW w:w="1089" w:type="dxa"/>
            <w:tcBorders>
              <w:tl2br w:val="nil"/>
              <w:tr2bl w:val="nil"/>
            </w:tcBorders>
            <w:vAlign w:val="center"/>
          </w:tcPr>
          <w:p w14:paraId="593BC4C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个体防护用品实用</w:t>
            </w:r>
            <w:r w:rsidRPr="00EF4836">
              <w:rPr>
                <w:rFonts w:ascii="仿宋_GB2312" w:eastAsia="仿宋_GB2312" w:hAnsi="仿宋_GB2312" w:cs="仿宋_GB2312" w:hint="eastAsia"/>
                <w:color w:val="000000"/>
                <w:sz w:val="20"/>
                <w:szCs w:val="20"/>
              </w:rPr>
              <w:lastRenderedPageBreak/>
              <w:t>类</w:t>
            </w:r>
          </w:p>
        </w:tc>
        <w:tc>
          <w:tcPr>
            <w:tcW w:w="2861" w:type="dxa"/>
            <w:tcBorders>
              <w:tl2br w:val="nil"/>
              <w:tr2bl w:val="nil"/>
            </w:tcBorders>
            <w:vAlign w:val="center"/>
          </w:tcPr>
          <w:p w14:paraId="64F9861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存在毒性、腐蚀性、刺激性危害的实验室、危险化学品储存场</w:t>
            </w:r>
            <w:r w:rsidRPr="00EF4836">
              <w:rPr>
                <w:rFonts w:ascii="仿宋_GB2312" w:eastAsia="仿宋_GB2312" w:hAnsi="仿宋_GB2312" w:cs="仿宋_GB2312" w:hint="eastAsia"/>
                <w:color w:val="000000"/>
                <w:sz w:val="20"/>
                <w:szCs w:val="20"/>
              </w:rPr>
              <w:lastRenderedPageBreak/>
              <w:t>所</w:t>
            </w:r>
            <w:proofErr w:type="gramStart"/>
            <w:r w:rsidRPr="00EF4836">
              <w:rPr>
                <w:rFonts w:ascii="仿宋_GB2312" w:eastAsia="仿宋_GB2312" w:hAnsi="仿宋_GB2312" w:cs="仿宋_GB2312" w:hint="eastAsia"/>
                <w:color w:val="000000"/>
                <w:sz w:val="20"/>
                <w:szCs w:val="20"/>
              </w:rPr>
              <w:t>未设计洗</w:t>
            </w:r>
            <w:proofErr w:type="gramEnd"/>
            <w:r w:rsidRPr="00EF4836">
              <w:rPr>
                <w:rFonts w:ascii="仿宋_GB2312" w:eastAsia="仿宋_GB2312" w:hAnsi="仿宋_GB2312" w:cs="仿宋_GB2312" w:hint="eastAsia"/>
                <w:color w:val="000000"/>
                <w:sz w:val="20"/>
                <w:szCs w:val="20"/>
              </w:rPr>
              <w:t>眼器、淋洗器等；防护半径大于15m，洗消水无收集设施。</w:t>
            </w:r>
          </w:p>
        </w:tc>
        <w:tc>
          <w:tcPr>
            <w:tcW w:w="3889" w:type="dxa"/>
            <w:tcBorders>
              <w:tl2br w:val="nil"/>
              <w:tr2bl w:val="nil"/>
            </w:tcBorders>
            <w:vAlign w:val="center"/>
          </w:tcPr>
          <w:p w14:paraId="539A4B9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存在毒性、腐蚀性、刺激性危害的实验室、危险化学品储存场所应设置洗眼器、淋洗</w:t>
            </w:r>
            <w:r w:rsidRPr="00EF4836">
              <w:rPr>
                <w:rFonts w:ascii="仿宋_GB2312" w:eastAsia="仿宋_GB2312" w:hAnsi="仿宋_GB2312" w:cs="仿宋_GB2312" w:hint="eastAsia"/>
                <w:color w:val="000000"/>
                <w:sz w:val="20"/>
                <w:szCs w:val="20"/>
              </w:rPr>
              <w:lastRenderedPageBreak/>
              <w:t>器等安全冲洗装置，其服务半径应不大于 15m，安全冲洗装置宜安放在接近危险的位置，但须考虑到使用设备时冲洗液可能存在四处飞溅的危险或其他危险（例如暴露的有电导体）。洗消水应有收集设施。</w:t>
            </w:r>
          </w:p>
        </w:tc>
        <w:tc>
          <w:tcPr>
            <w:tcW w:w="3868" w:type="dxa"/>
            <w:tcBorders>
              <w:tl2br w:val="nil"/>
              <w:tr2bl w:val="nil"/>
            </w:tcBorders>
            <w:vAlign w:val="center"/>
          </w:tcPr>
          <w:p w14:paraId="6151D56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《实验室危险化学品安全管理要求 第1部分：工业企业》（DB11/T 1191.1-2025）第</w:t>
            </w:r>
            <w:r w:rsidRPr="00EF4836">
              <w:rPr>
                <w:rFonts w:ascii="仿宋_GB2312" w:eastAsia="仿宋_GB2312" w:hAnsi="仿宋_GB2312" w:cs="仿宋_GB2312" w:hint="eastAsia"/>
                <w:color w:val="000000"/>
                <w:sz w:val="20"/>
                <w:szCs w:val="20"/>
              </w:rPr>
              <w:lastRenderedPageBreak/>
              <w:t>6.4条；</w:t>
            </w:r>
          </w:p>
          <w:p w14:paraId="1B741D6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1191.2-2025）第5.1.11条；</w:t>
            </w:r>
          </w:p>
          <w:p w14:paraId="50986AC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1191.3-2024）第6.2.4条;</w:t>
            </w:r>
          </w:p>
        </w:tc>
        <w:tc>
          <w:tcPr>
            <w:tcW w:w="376" w:type="dxa"/>
            <w:tcBorders>
              <w:tl2br w:val="nil"/>
              <w:tr2bl w:val="nil"/>
            </w:tcBorders>
            <w:vAlign w:val="center"/>
          </w:tcPr>
          <w:p w14:paraId="02455240"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533C131F" w14:textId="77777777" w:rsidTr="008351BE">
        <w:trPr>
          <w:trHeight w:val="347"/>
          <w:jc w:val="center"/>
        </w:trPr>
        <w:tc>
          <w:tcPr>
            <w:tcW w:w="971" w:type="dxa"/>
            <w:tcBorders>
              <w:tl2br w:val="nil"/>
              <w:tr2bl w:val="nil"/>
            </w:tcBorders>
            <w:vAlign w:val="center"/>
          </w:tcPr>
          <w:p w14:paraId="67263EDE"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15.2.03.038</w:t>
            </w:r>
          </w:p>
        </w:tc>
        <w:tc>
          <w:tcPr>
            <w:tcW w:w="1064" w:type="dxa"/>
            <w:tcBorders>
              <w:tl2br w:val="nil"/>
              <w:tr2bl w:val="nil"/>
            </w:tcBorders>
            <w:vAlign w:val="center"/>
          </w:tcPr>
          <w:p w14:paraId="4146CB00"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53E69E9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辅助系统设备设施类</w:t>
            </w:r>
          </w:p>
        </w:tc>
        <w:tc>
          <w:tcPr>
            <w:tcW w:w="2861" w:type="dxa"/>
            <w:tcBorders>
              <w:tl2br w:val="nil"/>
              <w:tr2bl w:val="nil"/>
            </w:tcBorders>
            <w:vAlign w:val="center"/>
          </w:tcPr>
          <w:p w14:paraId="515F97D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气瓶应配置气瓶柜或气瓶未配备防倒链、防倒栏栅等设备；可燃气体气瓶采用金属防倒链；气瓶位置</w:t>
            </w:r>
            <w:proofErr w:type="gramStart"/>
            <w:r w:rsidRPr="00EF4836">
              <w:rPr>
                <w:rFonts w:ascii="仿宋_GB2312" w:eastAsia="仿宋_GB2312" w:hAnsi="仿宋_GB2312" w:cs="仿宋_GB2312" w:hint="eastAsia"/>
                <w:color w:val="000000"/>
                <w:sz w:val="20"/>
                <w:szCs w:val="20"/>
              </w:rPr>
              <w:t>不</w:t>
            </w:r>
            <w:proofErr w:type="gramEnd"/>
            <w:r w:rsidRPr="00EF4836">
              <w:rPr>
                <w:rFonts w:ascii="仿宋_GB2312" w:eastAsia="仿宋_GB2312" w:hAnsi="仿宋_GB2312" w:cs="仿宋_GB2312" w:hint="eastAsia"/>
                <w:color w:val="000000"/>
                <w:sz w:val="20"/>
                <w:szCs w:val="20"/>
              </w:rPr>
              <w:t>避雨通风。</w:t>
            </w:r>
          </w:p>
        </w:tc>
        <w:tc>
          <w:tcPr>
            <w:tcW w:w="3889" w:type="dxa"/>
            <w:tcBorders>
              <w:tl2br w:val="nil"/>
              <w:tr2bl w:val="nil"/>
            </w:tcBorders>
            <w:vAlign w:val="center"/>
          </w:tcPr>
          <w:p w14:paraId="5B50224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实验室、危险化学品储存场所的气瓶应配置气瓶柜或气瓶防倒链、防倒栏栅等设备，可燃气体气瓶不应采用金属防倒链，放在室外的气瓶应设置在避雨通风的安全区域。</w:t>
            </w:r>
          </w:p>
        </w:tc>
        <w:tc>
          <w:tcPr>
            <w:tcW w:w="3868" w:type="dxa"/>
            <w:tcBorders>
              <w:tl2br w:val="nil"/>
              <w:tr2bl w:val="nil"/>
            </w:tcBorders>
            <w:vAlign w:val="center"/>
          </w:tcPr>
          <w:p w14:paraId="2C3F4F6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1191.1-2025）第6.5条；</w:t>
            </w:r>
          </w:p>
          <w:p w14:paraId="13D65EA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1191.2-2025）第5.3.7条</w:t>
            </w:r>
          </w:p>
          <w:p w14:paraId="21F977D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1191.3-2024）第7.2.1条e）</w:t>
            </w:r>
          </w:p>
        </w:tc>
        <w:tc>
          <w:tcPr>
            <w:tcW w:w="376" w:type="dxa"/>
            <w:tcBorders>
              <w:tl2br w:val="nil"/>
              <w:tr2bl w:val="nil"/>
            </w:tcBorders>
            <w:vAlign w:val="center"/>
          </w:tcPr>
          <w:p w14:paraId="7A777122"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59DD8132" w14:textId="77777777" w:rsidTr="008351BE">
        <w:trPr>
          <w:trHeight w:val="347"/>
          <w:jc w:val="center"/>
        </w:trPr>
        <w:tc>
          <w:tcPr>
            <w:tcW w:w="971" w:type="dxa"/>
            <w:tcBorders>
              <w:tl2br w:val="nil"/>
              <w:tr2bl w:val="nil"/>
            </w:tcBorders>
            <w:vAlign w:val="center"/>
          </w:tcPr>
          <w:p w14:paraId="42B66A2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15.2.11.039</w:t>
            </w:r>
          </w:p>
        </w:tc>
        <w:tc>
          <w:tcPr>
            <w:tcW w:w="1064" w:type="dxa"/>
            <w:tcBorders>
              <w:tl2br w:val="nil"/>
              <w:tr2bl w:val="nil"/>
            </w:tcBorders>
            <w:vAlign w:val="center"/>
          </w:tcPr>
          <w:p w14:paraId="6B12FE22"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52AC3F62"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其他设备设施类</w:t>
            </w:r>
          </w:p>
        </w:tc>
        <w:tc>
          <w:tcPr>
            <w:tcW w:w="2861" w:type="dxa"/>
            <w:tcBorders>
              <w:tl2br w:val="nil"/>
              <w:tr2bl w:val="nil"/>
            </w:tcBorders>
            <w:vAlign w:val="center"/>
          </w:tcPr>
          <w:p w14:paraId="3508752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未在实验室、危险化学品储存场所明显和便于取用的位置设置灭火器、灭火</w:t>
            </w:r>
            <w:proofErr w:type="gramStart"/>
            <w:r w:rsidRPr="00EF4836">
              <w:rPr>
                <w:rFonts w:ascii="仿宋_GB2312" w:eastAsia="仿宋_GB2312" w:hAnsi="仿宋_GB2312" w:cs="仿宋_GB2312" w:hint="eastAsia"/>
                <w:color w:val="000000"/>
                <w:sz w:val="20"/>
                <w:szCs w:val="20"/>
              </w:rPr>
              <w:t>毯</w:t>
            </w:r>
            <w:proofErr w:type="gramEnd"/>
            <w:r w:rsidRPr="00EF4836">
              <w:rPr>
                <w:rFonts w:ascii="仿宋_GB2312" w:eastAsia="仿宋_GB2312" w:hAnsi="仿宋_GB2312" w:cs="仿宋_GB2312" w:hint="eastAsia"/>
                <w:color w:val="000000"/>
                <w:sz w:val="20"/>
                <w:szCs w:val="20"/>
              </w:rPr>
              <w:t>、消防沙等必要的消防器材。</w:t>
            </w:r>
          </w:p>
        </w:tc>
        <w:tc>
          <w:tcPr>
            <w:tcW w:w="3889" w:type="dxa"/>
            <w:tcBorders>
              <w:tl2br w:val="nil"/>
              <w:tr2bl w:val="nil"/>
            </w:tcBorders>
            <w:vAlign w:val="center"/>
          </w:tcPr>
          <w:p w14:paraId="20826DB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应按照实验室、危险化学品储存场所危险化学品的性质及GB 50140的要求，明显和便于取用的位置设置灭火器、灭火</w:t>
            </w:r>
            <w:proofErr w:type="gramStart"/>
            <w:r w:rsidRPr="00EF4836">
              <w:rPr>
                <w:rFonts w:ascii="仿宋_GB2312" w:eastAsia="仿宋_GB2312" w:hAnsi="仿宋_GB2312" w:cs="仿宋_GB2312" w:hint="eastAsia"/>
                <w:color w:val="000000"/>
                <w:sz w:val="20"/>
                <w:szCs w:val="20"/>
              </w:rPr>
              <w:t>毯</w:t>
            </w:r>
            <w:proofErr w:type="gramEnd"/>
            <w:r w:rsidRPr="00EF4836">
              <w:rPr>
                <w:rFonts w:ascii="仿宋_GB2312" w:eastAsia="仿宋_GB2312" w:hAnsi="仿宋_GB2312" w:cs="仿宋_GB2312" w:hint="eastAsia"/>
                <w:color w:val="000000"/>
                <w:sz w:val="20"/>
                <w:szCs w:val="20"/>
              </w:rPr>
              <w:t>、消防沙等必要的消防器材。</w:t>
            </w:r>
          </w:p>
        </w:tc>
        <w:tc>
          <w:tcPr>
            <w:tcW w:w="3868" w:type="dxa"/>
            <w:tcBorders>
              <w:tl2br w:val="nil"/>
              <w:tr2bl w:val="nil"/>
            </w:tcBorders>
            <w:vAlign w:val="center"/>
          </w:tcPr>
          <w:p w14:paraId="46B819E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1191.1-2025）第6.6条；</w:t>
            </w:r>
          </w:p>
          <w:p w14:paraId="1FC6F95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1191.2-2025）第5.1.12条；</w:t>
            </w:r>
          </w:p>
          <w:p w14:paraId="2F57E4C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1191.3-2024）第6.1.7条</w:t>
            </w:r>
          </w:p>
        </w:tc>
        <w:tc>
          <w:tcPr>
            <w:tcW w:w="376" w:type="dxa"/>
            <w:tcBorders>
              <w:tl2br w:val="nil"/>
              <w:tr2bl w:val="nil"/>
            </w:tcBorders>
            <w:vAlign w:val="center"/>
          </w:tcPr>
          <w:p w14:paraId="59EFA6C4"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61FE0384" w14:textId="77777777" w:rsidTr="008351BE">
        <w:trPr>
          <w:trHeight w:val="347"/>
          <w:jc w:val="center"/>
        </w:trPr>
        <w:tc>
          <w:tcPr>
            <w:tcW w:w="971" w:type="dxa"/>
            <w:tcBorders>
              <w:tl2br w:val="nil"/>
              <w:tr2bl w:val="nil"/>
            </w:tcBorders>
            <w:vAlign w:val="center"/>
          </w:tcPr>
          <w:p w14:paraId="21B24CC2"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15.3.03.040</w:t>
            </w:r>
          </w:p>
        </w:tc>
        <w:tc>
          <w:tcPr>
            <w:tcW w:w="1064" w:type="dxa"/>
            <w:tcBorders>
              <w:tl2br w:val="nil"/>
              <w:tr2bl w:val="nil"/>
            </w:tcBorders>
            <w:vAlign w:val="center"/>
          </w:tcPr>
          <w:p w14:paraId="5037700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人员类</w:t>
            </w:r>
          </w:p>
        </w:tc>
        <w:tc>
          <w:tcPr>
            <w:tcW w:w="1089" w:type="dxa"/>
            <w:tcBorders>
              <w:tl2br w:val="nil"/>
              <w:tr2bl w:val="nil"/>
            </w:tcBorders>
            <w:vAlign w:val="center"/>
          </w:tcPr>
          <w:p w14:paraId="79D206F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个体防护用品使用类</w:t>
            </w:r>
          </w:p>
        </w:tc>
        <w:tc>
          <w:tcPr>
            <w:tcW w:w="2861" w:type="dxa"/>
            <w:tcBorders>
              <w:tl2br w:val="nil"/>
              <w:tr2bl w:val="nil"/>
            </w:tcBorders>
            <w:vAlign w:val="center"/>
          </w:tcPr>
          <w:p w14:paraId="09635CE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未为作业人员配备个体防护装备；未设置急救箱或急救包。</w:t>
            </w:r>
          </w:p>
        </w:tc>
        <w:tc>
          <w:tcPr>
            <w:tcW w:w="3889" w:type="dxa"/>
            <w:tcBorders>
              <w:tl2br w:val="nil"/>
              <w:tr2bl w:val="nil"/>
            </w:tcBorders>
            <w:vAlign w:val="center"/>
          </w:tcPr>
          <w:p w14:paraId="43EFAB9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应为作业人员配备符合GB39800.1规定的个体防护装备。在实验室方便取用的地点设置急救箱或急救包。有专人适时检查补</w:t>
            </w:r>
            <w:r w:rsidRPr="00EF4836">
              <w:rPr>
                <w:rFonts w:ascii="仿宋_GB2312" w:eastAsia="仿宋_GB2312" w:hAnsi="仿宋_GB2312" w:cs="仿宋_GB2312" w:hint="eastAsia"/>
                <w:color w:val="000000"/>
                <w:sz w:val="20"/>
                <w:szCs w:val="20"/>
              </w:rPr>
              <w:lastRenderedPageBreak/>
              <w:t>充,配备物品应包括消毒药剂、烫伤药、创伤药、化学灼伤药等具有针对性疗效的药品以及其他必要的急救药品，并应确保药品在安全有效期内。</w:t>
            </w:r>
          </w:p>
        </w:tc>
        <w:tc>
          <w:tcPr>
            <w:tcW w:w="3868" w:type="dxa"/>
            <w:tcBorders>
              <w:tl2br w:val="nil"/>
              <w:tr2bl w:val="nil"/>
            </w:tcBorders>
            <w:vAlign w:val="center"/>
          </w:tcPr>
          <w:p w14:paraId="5C957C2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《实验室危险化学品安全管理要求 第1部分：工业企业》（DB11/T 1191.1-2025）第6.7节；</w:t>
            </w:r>
          </w:p>
          <w:p w14:paraId="6DC8603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《实验室危险化学品安全管理要求 第2部分：普通高等学校》（DB11/T 1191.2-2025）第7.5.2条</w:t>
            </w:r>
          </w:p>
          <w:p w14:paraId="3B1F465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1191.3-2024）第6.1.8条</w:t>
            </w:r>
          </w:p>
        </w:tc>
        <w:tc>
          <w:tcPr>
            <w:tcW w:w="376" w:type="dxa"/>
            <w:tcBorders>
              <w:tl2br w:val="nil"/>
              <w:tr2bl w:val="nil"/>
            </w:tcBorders>
            <w:vAlign w:val="center"/>
          </w:tcPr>
          <w:p w14:paraId="39D9577C"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2355D1E0" w14:textId="77777777" w:rsidTr="008351BE">
        <w:trPr>
          <w:trHeight w:val="347"/>
          <w:jc w:val="center"/>
        </w:trPr>
        <w:tc>
          <w:tcPr>
            <w:tcW w:w="971" w:type="dxa"/>
            <w:tcBorders>
              <w:tl2br w:val="nil"/>
              <w:tr2bl w:val="nil"/>
            </w:tcBorders>
            <w:vAlign w:val="center"/>
          </w:tcPr>
          <w:p w14:paraId="68D9C62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15.2.09.041</w:t>
            </w:r>
          </w:p>
        </w:tc>
        <w:tc>
          <w:tcPr>
            <w:tcW w:w="1064" w:type="dxa"/>
            <w:tcBorders>
              <w:tl2br w:val="nil"/>
              <w:tr2bl w:val="nil"/>
            </w:tcBorders>
            <w:vAlign w:val="center"/>
          </w:tcPr>
          <w:p w14:paraId="0592BE67"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699F23C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监控系统类</w:t>
            </w:r>
          </w:p>
        </w:tc>
        <w:tc>
          <w:tcPr>
            <w:tcW w:w="2861" w:type="dxa"/>
            <w:tcBorders>
              <w:tl2br w:val="nil"/>
              <w:tr2bl w:val="nil"/>
            </w:tcBorders>
            <w:vAlign w:val="center"/>
          </w:tcPr>
          <w:p w14:paraId="192D33A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爆炸性气体环境0区～2区或爆炸性粉尘环境20区～22区未使用防爆设备；</w:t>
            </w:r>
          </w:p>
          <w:p w14:paraId="7623991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可能散发可燃气体的实验室、危险化学品储存场所的电气设施未采取接地措施</w:t>
            </w:r>
          </w:p>
        </w:tc>
        <w:tc>
          <w:tcPr>
            <w:tcW w:w="3889" w:type="dxa"/>
            <w:tcBorders>
              <w:tl2br w:val="nil"/>
              <w:tr2bl w:val="nil"/>
            </w:tcBorders>
            <w:vAlign w:val="center"/>
          </w:tcPr>
          <w:p w14:paraId="4EB5A249" w14:textId="4A55D561"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属于爆炸性气体环境0区～2区或爆炸性粉尘环境20区～22区的实验室，包括通风橱、电气仪表等均应使用相应防爆等级的防爆设备；室内通风橱、仪表等电气设备设施均应使用相应防爆等级的防爆设备，通风橱内不应设置或放置插座、插头、接线板。</w:t>
            </w:r>
          </w:p>
          <w:p w14:paraId="291F9F9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储存易燃易爆危险化学品的储存柜、货架及排风管路等设备设施，可能散发可燃气体的实验室、危险化学品储存场所的电气设施应有良好的接地措施，且电气设施的防爆应符合GB 50058的要求。</w:t>
            </w:r>
          </w:p>
          <w:p w14:paraId="3D39375F" w14:textId="77777777" w:rsidR="00EF4836" w:rsidRPr="00EF4836" w:rsidRDefault="00EF4836" w:rsidP="008351BE">
            <w:pPr>
              <w:pStyle w:val="a5"/>
              <w:adjustRightInd w:val="0"/>
              <w:snapToGrid w:val="0"/>
              <w:ind w:firstLine="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爆炸危险场所未按标准规范要求安装使用防爆电气设备。</w:t>
            </w:r>
          </w:p>
        </w:tc>
        <w:tc>
          <w:tcPr>
            <w:tcW w:w="3868" w:type="dxa"/>
            <w:tcBorders>
              <w:tl2br w:val="nil"/>
              <w:tr2bl w:val="nil"/>
            </w:tcBorders>
            <w:vAlign w:val="center"/>
          </w:tcPr>
          <w:p w14:paraId="570E0C1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1191.1-2025）第6.8节；</w:t>
            </w:r>
          </w:p>
          <w:p w14:paraId="50F3446B" w14:textId="77777777" w:rsidR="00EF4836" w:rsidRPr="00EF4836" w:rsidRDefault="00EF4836" w:rsidP="008351BE">
            <w:pPr>
              <w:autoSpaceDE w:val="0"/>
              <w:autoSpaceDN w:val="0"/>
              <w:adjustRightInd w:val="0"/>
              <w:snapToGrid w:val="0"/>
              <w:rPr>
                <w:rFonts w:ascii="仿宋_GB2312" w:eastAsia="仿宋_GB2312" w:hint="eastAsia"/>
                <w:sz w:val="20"/>
                <w:szCs w:val="20"/>
              </w:rPr>
            </w:pPr>
            <w:r w:rsidRPr="00EF4836">
              <w:rPr>
                <w:rFonts w:ascii="仿宋_GB2312" w:eastAsia="仿宋_GB2312" w:hAnsi="仿宋_GB2312" w:cs="仿宋_GB2312" w:hint="eastAsia"/>
                <w:color w:val="000000"/>
                <w:sz w:val="20"/>
                <w:szCs w:val="20"/>
              </w:rPr>
              <w:t>《化工和危险化学品企业重大生产安全事故隐患判定准则（征求意见稿）》第5.4.3；</w:t>
            </w:r>
          </w:p>
          <w:p w14:paraId="1F94AA3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1191.2-2025）第5.1.6、5.3.2条；</w:t>
            </w:r>
          </w:p>
          <w:p w14:paraId="2551F42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1191.3-2024）第6.1.6、6.2.1、8.2.4条</w:t>
            </w:r>
          </w:p>
        </w:tc>
        <w:tc>
          <w:tcPr>
            <w:tcW w:w="376" w:type="dxa"/>
            <w:tcBorders>
              <w:tl2br w:val="nil"/>
              <w:tr2bl w:val="nil"/>
            </w:tcBorders>
            <w:vAlign w:val="center"/>
          </w:tcPr>
          <w:p w14:paraId="5410CB58"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r w:rsidRPr="00EF4836">
              <w:rPr>
                <w:rFonts w:ascii="仿宋_GB2312" w:eastAsia="仿宋_GB2312" w:hAnsi="黑体" w:cs="宋体" w:hint="eastAsia"/>
                <w:b/>
                <w:kern w:val="0"/>
                <w:sz w:val="20"/>
                <w:szCs w:val="20"/>
              </w:rPr>
              <w:t>★1</w:t>
            </w:r>
          </w:p>
        </w:tc>
      </w:tr>
      <w:tr w:rsidR="00EF4836" w:rsidRPr="00EF4836" w14:paraId="039C3690" w14:textId="77777777" w:rsidTr="008351BE">
        <w:trPr>
          <w:trHeight w:val="347"/>
          <w:jc w:val="center"/>
        </w:trPr>
        <w:tc>
          <w:tcPr>
            <w:tcW w:w="971" w:type="dxa"/>
            <w:tcBorders>
              <w:tl2br w:val="nil"/>
              <w:tr2bl w:val="nil"/>
            </w:tcBorders>
            <w:vAlign w:val="center"/>
          </w:tcPr>
          <w:p w14:paraId="2E614F3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15.2.09.042</w:t>
            </w:r>
          </w:p>
        </w:tc>
        <w:tc>
          <w:tcPr>
            <w:tcW w:w="1064" w:type="dxa"/>
            <w:tcBorders>
              <w:tl2br w:val="nil"/>
              <w:tr2bl w:val="nil"/>
            </w:tcBorders>
            <w:vAlign w:val="center"/>
          </w:tcPr>
          <w:p w14:paraId="6629172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516AC82D"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监控系统类</w:t>
            </w:r>
          </w:p>
        </w:tc>
        <w:tc>
          <w:tcPr>
            <w:tcW w:w="2861" w:type="dxa"/>
            <w:tcBorders>
              <w:tl2br w:val="nil"/>
              <w:tr2bl w:val="nil"/>
            </w:tcBorders>
            <w:vAlign w:val="center"/>
          </w:tcPr>
          <w:p w14:paraId="088E545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储存场所未配备温、湿度检测仪，未设置视频监控设备，照明、通风等电气设施的开关未设置在门外。</w:t>
            </w:r>
          </w:p>
        </w:tc>
        <w:tc>
          <w:tcPr>
            <w:tcW w:w="3889" w:type="dxa"/>
            <w:tcBorders>
              <w:tl2br w:val="nil"/>
              <w:tr2bl w:val="nil"/>
            </w:tcBorders>
            <w:vAlign w:val="center"/>
          </w:tcPr>
          <w:p w14:paraId="5746805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危险化学品储存场所应配备温、湿度检测仪，设置视频监控设备，照明、通风等电气设施的开关应设置在门外。</w:t>
            </w:r>
          </w:p>
        </w:tc>
        <w:tc>
          <w:tcPr>
            <w:tcW w:w="3868" w:type="dxa"/>
            <w:tcBorders>
              <w:tl2br w:val="nil"/>
              <w:tr2bl w:val="nil"/>
            </w:tcBorders>
            <w:vAlign w:val="center"/>
          </w:tcPr>
          <w:p w14:paraId="46B5A72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1191.1-2025）第6.9条；</w:t>
            </w:r>
          </w:p>
          <w:p w14:paraId="41DA431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1191.2-2025）第6.1.10、5.3.3条；</w:t>
            </w:r>
          </w:p>
          <w:p w14:paraId="6D4C542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1191.3-2024）第6.1.15条</w:t>
            </w:r>
          </w:p>
        </w:tc>
        <w:tc>
          <w:tcPr>
            <w:tcW w:w="376" w:type="dxa"/>
            <w:tcBorders>
              <w:tl2br w:val="nil"/>
              <w:tr2bl w:val="nil"/>
            </w:tcBorders>
            <w:vAlign w:val="center"/>
          </w:tcPr>
          <w:p w14:paraId="2444EF47"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04FDEE57" w14:textId="77777777" w:rsidTr="008351BE">
        <w:trPr>
          <w:trHeight w:val="347"/>
          <w:jc w:val="center"/>
        </w:trPr>
        <w:tc>
          <w:tcPr>
            <w:tcW w:w="971" w:type="dxa"/>
            <w:tcBorders>
              <w:tl2br w:val="nil"/>
              <w:tr2bl w:val="nil"/>
            </w:tcBorders>
            <w:vAlign w:val="center"/>
          </w:tcPr>
          <w:p w14:paraId="1AE5D588"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15.2.12.043</w:t>
            </w:r>
          </w:p>
        </w:tc>
        <w:tc>
          <w:tcPr>
            <w:tcW w:w="1064" w:type="dxa"/>
            <w:tcBorders>
              <w:tl2br w:val="nil"/>
              <w:tr2bl w:val="nil"/>
            </w:tcBorders>
            <w:vAlign w:val="center"/>
          </w:tcPr>
          <w:p w14:paraId="7E3D841D"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19025834"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危险化学品类</w:t>
            </w:r>
          </w:p>
        </w:tc>
        <w:tc>
          <w:tcPr>
            <w:tcW w:w="2861" w:type="dxa"/>
            <w:tcBorders>
              <w:tl2br w:val="nil"/>
              <w:tr2bl w:val="nil"/>
            </w:tcBorders>
            <w:vAlign w:val="center"/>
          </w:tcPr>
          <w:p w14:paraId="09FE8C8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在实验室对危险化学品进行分装、改装和堆积可燃性物品</w:t>
            </w:r>
          </w:p>
        </w:tc>
        <w:tc>
          <w:tcPr>
            <w:tcW w:w="3889" w:type="dxa"/>
            <w:tcBorders>
              <w:tl2br w:val="nil"/>
              <w:tr2bl w:val="nil"/>
            </w:tcBorders>
            <w:vAlign w:val="center"/>
          </w:tcPr>
          <w:p w14:paraId="05629F8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不应在实验室对危险化学品进行分装、改装和堆积可燃性物品。</w:t>
            </w:r>
          </w:p>
        </w:tc>
        <w:tc>
          <w:tcPr>
            <w:tcW w:w="3868" w:type="dxa"/>
            <w:tcBorders>
              <w:tl2br w:val="nil"/>
              <w:tr2bl w:val="nil"/>
            </w:tcBorders>
            <w:vAlign w:val="center"/>
          </w:tcPr>
          <w:p w14:paraId="338F525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1191.1-2025）第8.3.3条;</w:t>
            </w:r>
          </w:p>
          <w:p w14:paraId="1C55B77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1191.3-2024）第8.5.1条；</w:t>
            </w:r>
          </w:p>
        </w:tc>
        <w:tc>
          <w:tcPr>
            <w:tcW w:w="376" w:type="dxa"/>
            <w:tcBorders>
              <w:tl2br w:val="nil"/>
              <w:tr2bl w:val="nil"/>
            </w:tcBorders>
            <w:vAlign w:val="center"/>
          </w:tcPr>
          <w:p w14:paraId="1F6BC8AA"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33DFA63C" w14:textId="77777777" w:rsidTr="008351BE">
        <w:trPr>
          <w:trHeight w:val="347"/>
          <w:jc w:val="center"/>
        </w:trPr>
        <w:tc>
          <w:tcPr>
            <w:tcW w:w="971" w:type="dxa"/>
            <w:tcBorders>
              <w:tl2br w:val="nil"/>
              <w:tr2bl w:val="nil"/>
            </w:tcBorders>
            <w:vAlign w:val="center"/>
          </w:tcPr>
          <w:p w14:paraId="1CAD252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15.2.12.044</w:t>
            </w:r>
          </w:p>
        </w:tc>
        <w:tc>
          <w:tcPr>
            <w:tcW w:w="1064" w:type="dxa"/>
            <w:tcBorders>
              <w:tl2br w:val="nil"/>
              <w:tr2bl w:val="nil"/>
            </w:tcBorders>
            <w:vAlign w:val="center"/>
          </w:tcPr>
          <w:p w14:paraId="3976D65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1F0A39B3"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危险化学品类</w:t>
            </w:r>
          </w:p>
        </w:tc>
        <w:tc>
          <w:tcPr>
            <w:tcW w:w="2861" w:type="dxa"/>
            <w:tcBorders>
              <w:tl2br w:val="nil"/>
              <w:tr2bl w:val="nil"/>
            </w:tcBorders>
            <w:vAlign w:val="center"/>
          </w:tcPr>
          <w:p w14:paraId="66545D4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使用通常用于贮存饮料及生活用品的容器盛放危险化学品。</w:t>
            </w:r>
          </w:p>
        </w:tc>
        <w:tc>
          <w:tcPr>
            <w:tcW w:w="3889" w:type="dxa"/>
            <w:tcBorders>
              <w:tl2br w:val="nil"/>
              <w:tr2bl w:val="nil"/>
            </w:tcBorders>
            <w:vAlign w:val="center"/>
          </w:tcPr>
          <w:p w14:paraId="4D8BFB3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不应使用通常用于贮存饮料及生活用品的容器盛放危险化学品。</w:t>
            </w:r>
          </w:p>
        </w:tc>
        <w:tc>
          <w:tcPr>
            <w:tcW w:w="3868" w:type="dxa"/>
            <w:tcBorders>
              <w:tl2br w:val="nil"/>
              <w:tr2bl w:val="nil"/>
            </w:tcBorders>
            <w:vAlign w:val="center"/>
          </w:tcPr>
          <w:p w14:paraId="0E310ED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1191.1-2025）第7.1.3条；</w:t>
            </w:r>
          </w:p>
          <w:p w14:paraId="0B13789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1191.3-2024）第7.1.2条</w:t>
            </w:r>
          </w:p>
        </w:tc>
        <w:tc>
          <w:tcPr>
            <w:tcW w:w="376" w:type="dxa"/>
            <w:tcBorders>
              <w:tl2br w:val="nil"/>
              <w:tr2bl w:val="nil"/>
            </w:tcBorders>
            <w:vAlign w:val="center"/>
          </w:tcPr>
          <w:p w14:paraId="0505356F"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0FEB7DB5" w14:textId="77777777" w:rsidTr="008351BE">
        <w:trPr>
          <w:trHeight w:val="347"/>
          <w:jc w:val="center"/>
        </w:trPr>
        <w:tc>
          <w:tcPr>
            <w:tcW w:w="971" w:type="dxa"/>
            <w:tcBorders>
              <w:tl2br w:val="nil"/>
              <w:tr2bl w:val="nil"/>
            </w:tcBorders>
            <w:vAlign w:val="center"/>
          </w:tcPr>
          <w:p w14:paraId="25F92D8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15.1.07.045</w:t>
            </w:r>
          </w:p>
        </w:tc>
        <w:tc>
          <w:tcPr>
            <w:tcW w:w="1064" w:type="dxa"/>
            <w:tcBorders>
              <w:tl2br w:val="nil"/>
              <w:tr2bl w:val="nil"/>
            </w:tcBorders>
            <w:vAlign w:val="center"/>
          </w:tcPr>
          <w:p w14:paraId="6353824E"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基础资料类</w:t>
            </w:r>
          </w:p>
        </w:tc>
        <w:tc>
          <w:tcPr>
            <w:tcW w:w="1089" w:type="dxa"/>
            <w:tcBorders>
              <w:tl2br w:val="nil"/>
              <w:tr2bl w:val="nil"/>
            </w:tcBorders>
            <w:vAlign w:val="center"/>
          </w:tcPr>
          <w:p w14:paraId="15BADF60"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风险辨识类</w:t>
            </w:r>
          </w:p>
        </w:tc>
        <w:tc>
          <w:tcPr>
            <w:tcW w:w="2861" w:type="dxa"/>
            <w:tcBorders>
              <w:tl2br w:val="nil"/>
              <w:tr2bl w:val="nil"/>
            </w:tcBorders>
            <w:vAlign w:val="center"/>
          </w:tcPr>
          <w:p w14:paraId="3D18351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使用危险化学品从事科研实验前未开展安全风险辨识、评估。</w:t>
            </w:r>
          </w:p>
        </w:tc>
        <w:tc>
          <w:tcPr>
            <w:tcW w:w="3889" w:type="dxa"/>
            <w:tcBorders>
              <w:tl2br w:val="nil"/>
              <w:tr2bl w:val="nil"/>
            </w:tcBorders>
            <w:vAlign w:val="center"/>
          </w:tcPr>
          <w:p w14:paraId="64B8F38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使用危险化学品从事科研实验前应开展安全风险辨识、评估。</w:t>
            </w:r>
          </w:p>
        </w:tc>
        <w:tc>
          <w:tcPr>
            <w:tcW w:w="3868" w:type="dxa"/>
            <w:tcBorders>
              <w:tl2br w:val="nil"/>
              <w:tr2bl w:val="nil"/>
            </w:tcBorders>
          </w:tcPr>
          <w:p w14:paraId="2662F21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1191.3-2024）第8.1.3条</w:t>
            </w:r>
          </w:p>
        </w:tc>
        <w:tc>
          <w:tcPr>
            <w:tcW w:w="376" w:type="dxa"/>
            <w:tcBorders>
              <w:tl2br w:val="nil"/>
              <w:tr2bl w:val="nil"/>
            </w:tcBorders>
          </w:tcPr>
          <w:p w14:paraId="3CEDF562"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5DD64299" w14:textId="77777777" w:rsidTr="008351BE">
        <w:trPr>
          <w:trHeight w:val="347"/>
          <w:jc w:val="center"/>
        </w:trPr>
        <w:tc>
          <w:tcPr>
            <w:tcW w:w="971" w:type="dxa"/>
            <w:tcBorders>
              <w:tl2br w:val="nil"/>
              <w:tr2bl w:val="nil"/>
            </w:tcBorders>
            <w:vAlign w:val="center"/>
          </w:tcPr>
          <w:p w14:paraId="584238B5"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15.1.07.046</w:t>
            </w:r>
          </w:p>
        </w:tc>
        <w:tc>
          <w:tcPr>
            <w:tcW w:w="1064" w:type="dxa"/>
            <w:tcBorders>
              <w:tl2br w:val="nil"/>
              <w:tr2bl w:val="nil"/>
            </w:tcBorders>
            <w:vAlign w:val="center"/>
          </w:tcPr>
          <w:p w14:paraId="7F865B2E"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基础资料类</w:t>
            </w:r>
          </w:p>
        </w:tc>
        <w:tc>
          <w:tcPr>
            <w:tcW w:w="1089" w:type="dxa"/>
            <w:tcBorders>
              <w:tl2br w:val="nil"/>
              <w:tr2bl w:val="nil"/>
            </w:tcBorders>
            <w:vAlign w:val="center"/>
          </w:tcPr>
          <w:p w14:paraId="6064F55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风险辨识类</w:t>
            </w:r>
          </w:p>
        </w:tc>
        <w:tc>
          <w:tcPr>
            <w:tcW w:w="2861" w:type="dxa"/>
            <w:tcBorders>
              <w:tl2br w:val="nil"/>
              <w:tr2bl w:val="nil"/>
            </w:tcBorders>
            <w:vAlign w:val="center"/>
          </w:tcPr>
          <w:p w14:paraId="1C24C76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科研单位对于涉及国家重点监管危险化工工艺和其它危险工艺的实验装置，未委托专业机构进行风险评估或安全现状评价</w:t>
            </w:r>
          </w:p>
        </w:tc>
        <w:tc>
          <w:tcPr>
            <w:tcW w:w="3889" w:type="dxa"/>
            <w:tcBorders>
              <w:tl2br w:val="nil"/>
              <w:tr2bl w:val="nil"/>
            </w:tcBorders>
            <w:vAlign w:val="center"/>
          </w:tcPr>
          <w:p w14:paraId="4A016D4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对于涉及国家重点监管危险化工工艺和其它危险工艺的实验装置和危险化学品储存场所，应每3年委托专业机构进行风险评估或安全现状评价，并根据评估结果采取相应措施保证工艺安全。</w:t>
            </w:r>
          </w:p>
        </w:tc>
        <w:tc>
          <w:tcPr>
            <w:tcW w:w="3868" w:type="dxa"/>
            <w:tcBorders>
              <w:tl2br w:val="nil"/>
              <w:tr2bl w:val="nil"/>
            </w:tcBorders>
            <w:vAlign w:val="center"/>
          </w:tcPr>
          <w:p w14:paraId="33C996C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1191.3-2024）第8.1.12条</w:t>
            </w:r>
          </w:p>
        </w:tc>
        <w:tc>
          <w:tcPr>
            <w:tcW w:w="376" w:type="dxa"/>
            <w:tcBorders>
              <w:tl2br w:val="nil"/>
              <w:tr2bl w:val="nil"/>
            </w:tcBorders>
          </w:tcPr>
          <w:p w14:paraId="57AB3327"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60D0BB73" w14:textId="77777777" w:rsidTr="008351BE">
        <w:trPr>
          <w:trHeight w:val="537"/>
          <w:jc w:val="center"/>
        </w:trPr>
        <w:tc>
          <w:tcPr>
            <w:tcW w:w="14118" w:type="dxa"/>
            <w:gridSpan w:val="7"/>
            <w:tcBorders>
              <w:tl2br w:val="nil"/>
              <w:tr2bl w:val="nil"/>
            </w:tcBorders>
            <w:shd w:val="clear" w:color="auto" w:fill="95B3D7"/>
            <w:vAlign w:val="center"/>
          </w:tcPr>
          <w:p w14:paraId="7FC5C2D7"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r w:rsidRPr="00EF4836">
              <w:rPr>
                <w:rFonts w:ascii="仿宋_GB2312" w:eastAsia="仿宋_GB2312" w:hAnsi="仿宋_GB2312" w:cs="仿宋_GB2312" w:hint="eastAsia"/>
                <w:b/>
                <w:color w:val="000000"/>
                <w:kern w:val="0"/>
                <w:sz w:val="20"/>
                <w:szCs w:val="20"/>
                <w:lang w:bidi="ar"/>
              </w:rPr>
              <w:t>储存基本要求</w:t>
            </w:r>
          </w:p>
        </w:tc>
      </w:tr>
      <w:tr w:rsidR="00EF4836" w:rsidRPr="00EF4836" w14:paraId="642260C5" w14:textId="77777777" w:rsidTr="008351BE">
        <w:trPr>
          <w:trHeight w:val="347"/>
          <w:jc w:val="center"/>
        </w:trPr>
        <w:tc>
          <w:tcPr>
            <w:tcW w:w="971" w:type="dxa"/>
            <w:tcBorders>
              <w:tl2br w:val="nil"/>
              <w:tr2bl w:val="nil"/>
            </w:tcBorders>
            <w:vAlign w:val="center"/>
          </w:tcPr>
          <w:p w14:paraId="42B402A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15.4.05.047</w:t>
            </w:r>
          </w:p>
        </w:tc>
        <w:tc>
          <w:tcPr>
            <w:tcW w:w="1064" w:type="dxa"/>
            <w:tcBorders>
              <w:tl2br w:val="nil"/>
              <w:tr2bl w:val="nil"/>
            </w:tcBorders>
            <w:vAlign w:val="center"/>
          </w:tcPr>
          <w:p w14:paraId="0ED73670"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715011C5"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周边环境类</w:t>
            </w:r>
          </w:p>
        </w:tc>
        <w:tc>
          <w:tcPr>
            <w:tcW w:w="2861" w:type="dxa"/>
            <w:tcBorders>
              <w:tl2br w:val="nil"/>
              <w:tr2bl w:val="nil"/>
            </w:tcBorders>
            <w:vAlign w:val="center"/>
          </w:tcPr>
          <w:p w14:paraId="27C69D6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储存场所贴邻食堂、会议室、活动室等人员较为密集的场所。</w:t>
            </w:r>
          </w:p>
        </w:tc>
        <w:tc>
          <w:tcPr>
            <w:tcW w:w="3889" w:type="dxa"/>
            <w:tcBorders>
              <w:tl2br w:val="nil"/>
              <w:tr2bl w:val="nil"/>
            </w:tcBorders>
            <w:vAlign w:val="center"/>
          </w:tcPr>
          <w:p w14:paraId="0991C64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危险化学品储存场所应远离食堂、会议室、活动室等人员较为密集的场所。</w:t>
            </w:r>
          </w:p>
        </w:tc>
        <w:tc>
          <w:tcPr>
            <w:tcW w:w="3868" w:type="dxa"/>
            <w:tcBorders>
              <w:tl2br w:val="nil"/>
              <w:tr2bl w:val="nil"/>
            </w:tcBorders>
            <w:vAlign w:val="center"/>
          </w:tcPr>
          <w:p w14:paraId="386F377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1191.3-2024）第5.3.1条</w:t>
            </w:r>
          </w:p>
        </w:tc>
        <w:tc>
          <w:tcPr>
            <w:tcW w:w="376" w:type="dxa"/>
            <w:tcBorders>
              <w:tl2br w:val="nil"/>
              <w:tr2bl w:val="nil"/>
            </w:tcBorders>
          </w:tcPr>
          <w:p w14:paraId="1DAF2B71"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1F26F3C4" w14:textId="77777777" w:rsidTr="008351BE">
        <w:trPr>
          <w:trHeight w:val="347"/>
          <w:jc w:val="center"/>
        </w:trPr>
        <w:tc>
          <w:tcPr>
            <w:tcW w:w="971" w:type="dxa"/>
            <w:tcBorders>
              <w:tl2br w:val="nil"/>
              <w:tr2bl w:val="nil"/>
            </w:tcBorders>
            <w:vAlign w:val="center"/>
          </w:tcPr>
          <w:p w14:paraId="15E753C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15.4.04.048</w:t>
            </w:r>
          </w:p>
        </w:tc>
        <w:tc>
          <w:tcPr>
            <w:tcW w:w="1064" w:type="dxa"/>
            <w:tcBorders>
              <w:tl2br w:val="nil"/>
              <w:tr2bl w:val="nil"/>
            </w:tcBorders>
            <w:vAlign w:val="center"/>
          </w:tcPr>
          <w:p w14:paraId="6686274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439D9FC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作业环境类</w:t>
            </w:r>
          </w:p>
        </w:tc>
        <w:tc>
          <w:tcPr>
            <w:tcW w:w="2861" w:type="dxa"/>
            <w:tcBorders>
              <w:tl2br w:val="nil"/>
              <w:tr2bl w:val="nil"/>
            </w:tcBorders>
            <w:vAlign w:val="center"/>
          </w:tcPr>
          <w:p w14:paraId="1107EFC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储存场所内设置员工宿舍或休息室。</w:t>
            </w:r>
          </w:p>
        </w:tc>
        <w:tc>
          <w:tcPr>
            <w:tcW w:w="3889" w:type="dxa"/>
            <w:tcBorders>
              <w:tl2br w:val="nil"/>
              <w:tr2bl w:val="nil"/>
            </w:tcBorders>
            <w:vAlign w:val="center"/>
          </w:tcPr>
          <w:p w14:paraId="7886BEF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危险化学品储存场所内不应设置员工宿舍或休息室。</w:t>
            </w:r>
          </w:p>
        </w:tc>
        <w:tc>
          <w:tcPr>
            <w:tcW w:w="3868" w:type="dxa"/>
            <w:tcBorders>
              <w:tl2br w:val="nil"/>
              <w:tr2bl w:val="nil"/>
            </w:tcBorders>
            <w:vAlign w:val="center"/>
          </w:tcPr>
          <w:p w14:paraId="64591ED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1191.3-2024）第5.3.2条</w:t>
            </w:r>
          </w:p>
        </w:tc>
        <w:tc>
          <w:tcPr>
            <w:tcW w:w="376" w:type="dxa"/>
            <w:tcBorders>
              <w:tl2br w:val="nil"/>
              <w:tr2bl w:val="nil"/>
            </w:tcBorders>
          </w:tcPr>
          <w:p w14:paraId="4A00E390"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492BD487" w14:textId="77777777" w:rsidTr="008351BE">
        <w:trPr>
          <w:trHeight w:val="347"/>
          <w:jc w:val="center"/>
        </w:trPr>
        <w:tc>
          <w:tcPr>
            <w:tcW w:w="971" w:type="dxa"/>
            <w:tcBorders>
              <w:tl2br w:val="nil"/>
              <w:tr2bl w:val="nil"/>
            </w:tcBorders>
            <w:vAlign w:val="center"/>
          </w:tcPr>
          <w:p w14:paraId="3462619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15.4.04.049</w:t>
            </w:r>
          </w:p>
        </w:tc>
        <w:tc>
          <w:tcPr>
            <w:tcW w:w="1064" w:type="dxa"/>
            <w:tcBorders>
              <w:tl2br w:val="nil"/>
              <w:tr2bl w:val="nil"/>
            </w:tcBorders>
            <w:vAlign w:val="center"/>
          </w:tcPr>
          <w:p w14:paraId="3D47EC2D"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0B3C44E8"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作业环境类</w:t>
            </w:r>
          </w:p>
        </w:tc>
        <w:tc>
          <w:tcPr>
            <w:tcW w:w="2861" w:type="dxa"/>
            <w:tcBorders>
              <w:tl2br w:val="nil"/>
              <w:tr2bl w:val="nil"/>
            </w:tcBorders>
            <w:vAlign w:val="center"/>
          </w:tcPr>
          <w:p w14:paraId="222C217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储存场所地面不平整、耐磨、防滑；储存腐蚀性危险化学品的专用储存室地面未做防腐处理；气瓶间的地面会产生火花。</w:t>
            </w:r>
          </w:p>
        </w:tc>
        <w:tc>
          <w:tcPr>
            <w:tcW w:w="3889" w:type="dxa"/>
            <w:tcBorders>
              <w:tl2br w:val="nil"/>
              <w:tr2bl w:val="nil"/>
            </w:tcBorders>
            <w:vAlign w:val="center"/>
          </w:tcPr>
          <w:p w14:paraId="120DB4D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危险化学品储存场所地面应平整、耐磨、防滑，并应符合下列要求： a） 储存腐蚀性危险化学品的专用储存室地面应做防腐处理； b） 气瓶间的地面应不产生火花。</w:t>
            </w:r>
          </w:p>
        </w:tc>
        <w:tc>
          <w:tcPr>
            <w:tcW w:w="3868" w:type="dxa"/>
            <w:tcBorders>
              <w:tl2br w:val="nil"/>
              <w:tr2bl w:val="nil"/>
            </w:tcBorders>
            <w:vAlign w:val="center"/>
          </w:tcPr>
          <w:p w14:paraId="32E0772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1191.3-2024）第5.3.3条</w:t>
            </w:r>
          </w:p>
        </w:tc>
        <w:tc>
          <w:tcPr>
            <w:tcW w:w="376" w:type="dxa"/>
            <w:tcBorders>
              <w:tl2br w:val="nil"/>
              <w:tr2bl w:val="nil"/>
            </w:tcBorders>
            <w:vAlign w:val="center"/>
          </w:tcPr>
          <w:p w14:paraId="6848BA9C"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0C83F742" w14:textId="77777777" w:rsidTr="008351BE">
        <w:trPr>
          <w:trHeight w:val="347"/>
          <w:jc w:val="center"/>
        </w:trPr>
        <w:tc>
          <w:tcPr>
            <w:tcW w:w="971" w:type="dxa"/>
            <w:tcBorders>
              <w:tl2br w:val="nil"/>
              <w:tr2bl w:val="nil"/>
            </w:tcBorders>
            <w:vAlign w:val="center"/>
          </w:tcPr>
          <w:p w14:paraId="3185216D"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15.4.04.050</w:t>
            </w:r>
          </w:p>
        </w:tc>
        <w:tc>
          <w:tcPr>
            <w:tcW w:w="1064" w:type="dxa"/>
            <w:tcBorders>
              <w:tl2br w:val="nil"/>
              <w:tr2bl w:val="nil"/>
            </w:tcBorders>
            <w:vAlign w:val="center"/>
          </w:tcPr>
          <w:p w14:paraId="5B601907"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10AD17D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作业环境类</w:t>
            </w:r>
          </w:p>
        </w:tc>
        <w:tc>
          <w:tcPr>
            <w:tcW w:w="2861" w:type="dxa"/>
            <w:tcBorders>
              <w:tl2br w:val="nil"/>
              <w:tr2bl w:val="nil"/>
            </w:tcBorders>
            <w:vAlign w:val="center"/>
          </w:tcPr>
          <w:p w14:paraId="5B78FF2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专用储存室、储存易燃气体、有毒气体的气瓶间内中央空调未设置独立通风系统。</w:t>
            </w:r>
          </w:p>
        </w:tc>
        <w:tc>
          <w:tcPr>
            <w:tcW w:w="3889" w:type="dxa"/>
            <w:tcBorders>
              <w:tl2br w:val="nil"/>
              <w:tr2bl w:val="nil"/>
            </w:tcBorders>
            <w:vAlign w:val="center"/>
          </w:tcPr>
          <w:p w14:paraId="4BE0754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危险化学品专用储存室、储存易燃气体、有毒气体的气瓶间内不应使用与其他房间相连的中央空调，应设置独立通风系统。</w:t>
            </w:r>
          </w:p>
        </w:tc>
        <w:tc>
          <w:tcPr>
            <w:tcW w:w="3868" w:type="dxa"/>
            <w:tcBorders>
              <w:tl2br w:val="nil"/>
              <w:tr2bl w:val="nil"/>
            </w:tcBorders>
            <w:vAlign w:val="center"/>
          </w:tcPr>
          <w:p w14:paraId="7CFFC19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bookmarkStart w:id="1" w:name="_Hlk223120679"/>
            <w:r w:rsidRPr="00EF4836">
              <w:rPr>
                <w:rFonts w:ascii="仿宋_GB2312" w:eastAsia="仿宋_GB2312" w:hAnsi="仿宋_GB2312" w:cs="仿宋_GB2312" w:hint="eastAsia"/>
                <w:color w:val="000000"/>
                <w:sz w:val="20"/>
                <w:szCs w:val="20"/>
              </w:rPr>
              <w:t>《实验室危险化学品安全管理要求 第3部分：科研单位》（DB11/T 1191.3-2024）第5.3.4条</w:t>
            </w:r>
            <w:bookmarkEnd w:id="1"/>
          </w:p>
        </w:tc>
        <w:tc>
          <w:tcPr>
            <w:tcW w:w="376" w:type="dxa"/>
            <w:tcBorders>
              <w:tl2br w:val="nil"/>
              <w:tr2bl w:val="nil"/>
            </w:tcBorders>
            <w:vAlign w:val="center"/>
          </w:tcPr>
          <w:p w14:paraId="7AB1A7EC"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23C121E4" w14:textId="77777777" w:rsidTr="008351BE">
        <w:trPr>
          <w:trHeight w:val="347"/>
          <w:jc w:val="center"/>
        </w:trPr>
        <w:tc>
          <w:tcPr>
            <w:tcW w:w="971" w:type="dxa"/>
            <w:tcBorders>
              <w:tl2br w:val="nil"/>
              <w:tr2bl w:val="nil"/>
            </w:tcBorders>
            <w:vAlign w:val="center"/>
          </w:tcPr>
          <w:p w14:paraId="3DB14F75"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15.2.12.051</w:t>
            </w:r>
          </w:p>
        </w:tc>
        <w:tc>
          <w:tcPr>
            <w:tcW w:w="1064" w:type="dxa"/>
            <w:tcBorders>
              <w:tl2br w:val="nil"/>
              <w:tr2bl w:val="nil"/>
            </w:tcBorders>
            <w:vAlign w:val="center"/>
          </w:tcPr>
          <w:p w14:paraId="564202F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3D796253"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危险化学品类</w:t>
            </w:r>
          </w:p>
        </w:tc>
        <w:tc>
          <w:tcPr>
            <w:tcW w:w="2861" w:type="dxa"/>
            <w:tcBorders>
              <w:tl2br w:val="nil"/>
              <w:tr2bl w:val="nil"/>
            </w:tcBorders>
            <w:vAlign w:val="center"/>
          </w:tcPr>
          <w:p w14:paraId="74BDEFC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危险化学品储存场所内存放普通化学品。</w:t>
            </w:r>
          </w:p>
        </w:tc>
        <w:tc>
          <w:tcPr>
            <w:tcW w:w="3889" w:type="dxa"/>
            <w:tcBorders>
              <w:tl2br w:val="nil"/>
              <w:tr2bl w:val="nil"/>
            </w:tcBorders>
            <w:vAlign w:val="center"/>
          </w:tcPr>
          <w:p w14:paraId="35A3A4A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危险化学品应储存在专用的危险化学品储存场所，危险化学品储存场所内不应存放普通化学品。</w:t>
            </w:r>
          </w:p>
        </w:tc>
        <w:tc>
          <w:tcPr>
            <w:tcW w:w="3868" w:type="dxa"/>
            <w:tcBorders>
              <w:tl2br w:val="nil"/>
              <w:tr2bl w:val="nil"/>
            </w:tcBorders>
            <w:vAlign w:val="center"/>
          </w:tcPr>
          <w:p w14:paraId="61F0063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1191.1-2025）第7.1.1条</w:t>
            </w:r>
          </w:p>
        </w:tc>
        <w:tc>
          <w:tcPr>
            <w:tcW w:w="376" w:type="dxa"/>
            <w:tcBorders>
              <w:tl2br w:val="nil"/>
              <w:tr2bl w:val="nil"/>
            </w:tcBorders>
          </w:tcPr>
          <w:p w14:paraId="502B2F44"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0B6A998F" w14:textId="77777777" w:rsidTr="008351BE">
        <w:trPr>
          <w:trHeight w:val="347"/>
          <w:jc w:val="center"/>
        </w:trPr>
        <w:tc>
          <w:tcPr>
            <w:tcW w:w="971" w:type="dxa"/>
            <w:tcBorders>
              <w:tl2br w:val="nil"/>
              <w:tr2bl w:val="nil"/>
            </w:tcBorders>
            <w:vAlign w:val="center"/>
          </w:tcPr>
          <w:p w14:paraId="433DE7A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15.2.12.052</w:t>
            </w:r>
          </w:p>
        </w:tc>
        <w:tc>
          <w:tcPr>
            <w:tcW w:w="1064" w:type="dxa"/>
            <w:tcBorders>
              <w:tl2br w:val="nil"/>
              <w:tr2bl w:val="nil"/>
            </w:tcBorders>
            <w:vAlign w:val="center"/>
          </w:tcPr>
          <w:p w14:paraId="38ED5BA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04E29314"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危险化学品类</w:t>
            </w:r>
          </w:p>
        </w:tc>
        <w:tc>
          <w:tcPr>
            <w:tcW w:w="2861" w:type="dxa"/>
            <w:tcBorders>
              <w:tl2br w:val="nil"/>
              <w:tr2bl w:val="nil"/>
            </w:tcBorders>
            <w:vAlign w:val="center"/>
          </w:tcPr>
          <w:p w14:paraId="0331259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使用食品饮料包装容器盛放危险化学品。</w:t>
            </w:r>
          </w:p>
        </w:tc>
        <w:tc>
          <w:tcPr>
            <w:tcW w:w="3889" w:type="dxa"/>
            <w:tcBorders>
              <w:tl2br w:val="nil"/>
              <w:tr2bl w:val="nil"/>
            </w:tcBorders>
            <w:vAlign w:val="center"/>
          </w:tcPr>
          <w:p w14:paraId="0F7B8B4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不应使用食品饮料包装容器盛放危险化学品。</w:t>
            </w:r>
          </w:p>
        </w:tc>
        <w:tc>
          <w:tcPr>
            <w:tcW w:w="3868" w:type="dxa"/>
            <w:tcBorders>
              <w:tl2br w:val="nil"/>
              <w:tr2bl w:val="nil"/>
            </w:tcBorders>
            <w:vAlign w:val="center"/>
          </w:tcPr>
          <w:p w14:paraId="119A63C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1191.1-2025）第7.1.3条；</w:t>
            </w:r>
          </w:p>
          <w:p w14:paraId="6AF2C35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1191.3-2024）第7.1.2条</w:t>
            </w:r>
          </w:p>
        </w:tc>
        <w:tc>
          <w:tcPr>
            <w:tcW w:w="376" w:type="dxa"/>
            <w:tcBorders>
              <w:tl2br w:val="nil"/>
              <w:tr2bl w:val="nil"/>
            </w:tcBorders>
          </w:tcPr>
          <w:p w14:paraId="7E3D2969"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5880A76B" w14:textId="77777777" w:rsidTr="008351BE">
        <w:trPr>
          <w:trHeight w:val="347"/>
          <w:jc w:val="center"/>
        </w:trPr>
        <w:tc>
          <w:tcPr>
            <w:tcW w:w="971" w:type="dxa"/>
            <w:tcBorders>
              <w:tl2br w:val="nil"/>
              <w:tr2bl w:val="nil"/>
            </w:tcBorders>
            <w:vAlign w:val="center"/>
          </w:tcPr>
          <w:p w14:paraId="1391B288"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15.2.12.053</w:t>
            </w:r>
          </w:p>
        </w:tc>
        <w:tc>
          <w:tcPr>
            <w:tcW w:w="1064" w:type="dxa"/>
            <w:tcBorders>
              <w:tl2br w:val="nil"/>
              <w:tr2bl w:val="nil"/>
            </w:tcBorders>
            <w:vAlign w:val="center"/>
          </w:tcPr>
          <w:p w14:paraId="577ACBFE"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1CF0BF25"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危险化学品类</w:t>
            </w:r>
          </w:p>
        </w:tc>
        <w:tc>
          <w:tcPr>
            <w:tcW w:w="2861" w:type="dxa"/>
            <w:tcBorders>
              <w:tl2br w:val="nil"/>
              <w:tr2bl w:val="nil"/>
            </w:tcBorders>
            <w:vAlign w:val="center"/>
          </w:tcPr>
          <w:p w14:paraId="5AE1A92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危险化学品包装损坏，封口不严密。</w:t>
            </w:r>
          </w:p>
        </w:tc>
        <w:tc>
          <w:tcPr>
            <w:tcW w:w="3889" w:type="dxa"/>
            <w:tcBorders>
              <w:tl2br w:val="nil"/>
              <w:tr2bl w:val="nil"/>
            </w:tcBorders>
            <w:vAlign w:val="center"/>
          </w:tcPr>
          <w:p w14:paraId="1E24598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危险化学品包装应完好，封口应严密。</w:t>
            </w:r>
          </w:p>
        </w:tc>
        <w:tc>
          <w:tcPr>
            <w:tcW w:w="3868" w:type="dxa"/>
            <w:tcBorders>
              <w:tl2br w:val="nil"/>
              <w:tr2bl w:val="nil"/>
            </w:tcBorders>
            <w:vAlign w:val="center"/>
          </w:tcPr>
          <w:p w14:paraId="738A4CC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1191.1-2025）第7.1.4条</w:t>
            </w:r>
          </w:p>
        </w:tc>
        <w:tc>
          <w:tcPr>
            <w:tcW w:w="376" w:type="dxa"/>
            <w:tcBorders>
              <w:tl2br w:val="nil"/>
              <w:tr2bl w:val="nil"/>
            </w:tcBorders>
          </w:tcPr>
          <w:p w14:paraId="1BB060DC"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70496C3E" w14:textId="77777777" w:rsidTr="008351BE">
        <w:trPr>
          <w:trHeight w:val="347"/>
          <w:jc w:val="center"/>
        </w:trPr>
        <w:tc>
          <w:tcPr>
            <w:tcW w:w="971" w:type="dxa"/>
            <w:tcBorders>
              <w:tl2br w:val="nil"/>
              <w:tr2bl w:val="nil"/>
            </w:tcBorders>
            <w:vAlign w:val="center"/>
          </w:tcPr>
          <w:p w14:paraId="5AA3A95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15.2.12.054</w:t>
            </w:r>
          </w:p>
        </w:tc>
        <w:tc>
          <w:tcPr>
            <w:tcW w:w="1064" w:type="dxa"/>
            <w:tcBorders>
              <w:tl2br w:val="nil"/>
              <w:tr2bl w:val="nil"/>
            </w:tcBorders>
            <w:vAlign w:val="center"/>
          </w:tcPr>
          <w:p w14:paraId="53A5011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7C26D06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危险化学品类</w:t>
            </w:r>
          </w:p>
        </w:tc>
        <w:tc>
          <w:tcPr>
            <w:tcW w:w="2861" w:type="dxa"/>
            <w:tcBorders>
              <w:tl2br w:val="nil"/>
              <w:tr2bl w:val="nil"/>
            </w:tcBorders>
            <w:vAlign w:val="center"/>
          </w:tcPr>
          <w:p w14:paraId="7816CAF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危险化学品储存场所无专人负责管理。</w:t>
            </w:r>
          </w:p>
        </w:tc>
        <w:tc>
          <w:tcPr>
            <w:tcW w:w="3889" w:type="dxa"/>
            <w:tcBorders>
              <w:tl2br w:val="nil"/>
              <w:tr2bl w:val="nil"/>
            </w:tcBorders>
            <w:vAlign w:val="center"/>
          </w:tcPr>
          <w:p w14:paraId="1D75A98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危险化学品储存场所应由专人负责管理。</w:t>
            </w:r>
          </w:p>
        </w:tc>
        <w:tc>
          <w:tcPr>
            <w:tcW w:w="3868" w:type="dxa"/>
            <w:tcBorders>
              <w:tl2br w:val="nil"/>
              <w:tr2bl w:val="nil"/>
            </w:tcBorders>
            <w:vAlign w:val="center"/>
          </w:tcPr>
          <w:p w14:paraId="45F51EE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1191.1-2025）第7.1.5条；</w:t>
            </w:r>
          </w:p>
          <w:p w14:paraId="67B001C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1191.2-2025）第7.2.1条；</w:t>
            </w:r>
          </w:p>
          <w:p w14:paraId="6640F20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1191.3-2024）第7.1.3条</w:t>
            </w:r>
          </w:p>
        </w:tc>
        <w:tc>
          <w:tcPr>
            <w:tcW w:w="376" w:type="dxa"/>
            <w:tcBorders>
              <w:tl2br w:val="nil"/>
              <w:tr2bl w:val="nil"/>
            </w:tcBorders>
          </w:tcPr>
          <w:p w14:paraId="6492D6DB"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286B8A57" w14:textId="77777777" w:rsidTr="008351BE">
        <w:trPr>
          <w:trHeight w:val="347"/>
          <w:jc w:val="center"/>
        </w:trPr>
        <w:tc>
          <w:tcPr>
            <w:tcW w:w="971" w:type="dxa"/>
            <w:tcBorders>
              <w:tl2br w:val="nil"/>
              <w:tr2bl w:val="nil"/>
            </w:tcBorders>
            <w:vAlign w:val="center"/>
          </w:tcPr>
          <w:p w14:paraId="4BCA7AD0"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15.2.12.055</w:t>
            </w:r>
          </w:p>
        </w:tc>
        <w:tc>
          <w:tcPr>
            <w:tcW w:w="1064" w:type="dxa"/>
            <w:tcBorders>
              <w:tl2br w:val="nil"/>
              <w:tr2bl w:val="nil"/>
            </w:tcBorders>
            <w:vAlign w:val="center"/>
          </w:tcPr>
          <w:p w14:paraId="31D653CE"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0659E24D"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危险化学品类</w:t>
            </w:r>
          </w:p>
        </w:tc>
        <w:tc>
          <w:tcPr>
            <w:tcW w:w="2861" w:type="dxa"/>
            <w:tcBorders>
              <w:tl2br w:val="nil"/>
              <w:tr2bl w:val="nil"/>
            </w:tcBorders>
            <w:vAlign w:val="center"/>
          </w:tcPr>
          <w:p w14:paraId="414B5CF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储存场所未见储存危险化学品的清单。</w:t>
            </w:r>
          </w:p>
        </w:tc>
        <w:tc>
          <w:tcPr>
            <w:tcW w:w="3889" w:type="dxa"/>
            <w:tcBorders>
              <w:tl2br w:val="nil"/>
              <w:tr2bl w:val="nil"/>
            </w:tcBorders>
            <w:vAlign w:val="center"/>
          </w:tcPr>
          <w:p w14:paraId="033B5EE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危险化学品储存场所应有储存危险化学品的清单。</w:t>
            </w:r>
          </w:p>
        </w:tc>
        <w:tc>
          <w:tcPr>
            <w:tcW w:w="3868" w:type="dxa"/>
            <w:tcBorders>
              <w:tl2br w:val="nil"/>
              <w:tr2bl w:val="nil"/>
            </w:tcBorders>
            <w:vAlign w:val="center"/>
          </w:tcPr>
          <w:p w14:paraId="17B3B91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1191.1-2025）第7.1.6条；</w:t>
            </w:r>
          </w:p>
          <w:p w14:paraId="64CFF7D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1191.2-2025）第6.1.10条；</w:t>
            </w:r>
          </w:p>
          <w:p w14:paraId="196450E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1191.3-2024）第7.1.4条</w:t>
            </w:r>
          </w:p>
        </w:tc>
        <w:tc>
          <w:tcPr>
            <w:tcW w:w="376" w:type="dxa"/>
            <w:tcBorders>
              <w:tl2br w:val="nil"/>
              <w:tr2bl w:val="nil"/>
            </w:tcBorders>
          </w:tcPr>
          <w:p w14:paraId="38802DD8"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4DBC8B8E" w14:textId="77777777" w:rsidTr="008351BE">
        <w:trPr>
          <w:trHeight w:val="347"/>
          <w:jc w:val="center"/>
        </w:trPr>
        <w:tc>
          <w:tcPr>
            <w:tcW w:w="971" w:type="dxa"/>
            <w:tcBorders>
              <w:tl2br w:val="nil"/>
              <w:tr2bl w:val="nil"/>
            </w:tcBorders>
            <w:vAlign w:val="center"/>
          </w:tcPr>
          <w:p w14:paraId="40A7016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15.2.12.056</w:t>
            </w:r>
          </w:p>
        </w:tc>
        <w:tc>
          <w:tcPr>
            <w:tcW w:w="1064" w:type="dxa"/>
            <w:tcBorders>
              <w:tl2br w:val="nil"/>
              <w:tr2bl w:val="nil"/>
            </w:tcBorders>
            <w:vAlign w:val="center"/>
          </w:tcPr>
          <w:p w14:paraId="61ED7F1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6F30A74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危险化学品类</w:t>
            </w:r>
          </w:p>
        </w:tc>
        <w:tc>
          <w:tcPr>
            <w:tcW w:w="2861" w:type="dxa"/>
            <w:tcBorders>
              <w:tl2br w:val="nil"/>
              <w:tr2bl w:val="nil"/>
            </w:tcBorders>
            <w:vAlign w:val="center"/>
          </w:tcPr>
          <w:p w14:paraId="388E7BE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禁忌物品同柜储存。</w:t>
            </w:r>
          </w:p>
          <w:p w14:paraId="4D3330F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工业企业实验室未按国家标准分区分类储存危险化学品，超量、</w:t>
            </w:r>
            <w:proofErr w:type="gramStart"/>
            <w:r w:rsidRPr="00EF4836">
              <w:rPr>
                <w:rFonts w:ascii="仿宋_GB2312" w:eastAsia="仿宋_GB2312" w:hAnsi="仿宋_GB2312" w:cs="仿宋_GB2312" w:hint="eastAsia"/>
                <w:color w:val="000000"/>
                <w:sz w:val="20"/>
                <w:szCs w:val="20"/>
              </w:rPr>
              <w:t>超品种</w:t>
            </w:r>
            <w:proofErr w:type="gramEnd"/>
            <w:r w:rsidRPr="00EF4836">
              <w:rPr>
                <w:rFonts w:ascii="仿宋_GB2312" w:eastAsia="仿宋_GB2312" w:hAnsi="仿宋_GB2312" w:cs="仿宋_GB2312" w:hint="eastAsia"/>
                <w:color w:val="000000"/>
                <w:sz w:val="20"/>
                <w:szCs w:val="20"/>
              </w:rPr>
              <w:t>储存危险化学品，相互</w:t>
            </w:r>
            <w:proofErr w:type="gramStart"/>
            <w:r w:rsidRPr="00EF4836">
              <w:rPr>
                <w:rFonts w:ascii="仿宋_GB2312" w:eastAsia="仿宋_GB2312" w:hAnsi="仿宋_GB2312" w:cs="仿宋_GB2312" w:hint="eastAsia"/>
                <w:color w:val="000000"/>
                <w:sz w:val="20"/>
                <w:szCs w:val="20"/>
              </w:rPr>
              <w:t>禁配物质混</w:t>
            </w:r>
            <w:proofErr w:type="gramEnd"/>
            <w:r w:rsidRPr="00EF4836">
              <w:rPr>
                <w:rFonts w:ascii="仿宋_GB2312" w:eastAsia="仿宋_GB2312" w:hAnsi="仿宋_GB2312" w:cs="仿宋_GB2312" w:hint="eastAsia"/>
                <w:color w:val="000000"/>
                <w:sz w:val="20"/>
                <w:szCs w:val="20"/>
              </w:rPr>
              <w:t>放混存</w:t>
            </w:r>
          </w:p>
        </w:tc>
        <w:tc>
          <w:tcPr>
            <w:tcW w:w="3889" w:type="dxa"/>
            <w:tcBorders>
              <w:tl2br w:val="nil"/>
              <w:tr2bl w:val="nil"/>
            </w:tcBorders>
            <w:vAlign w:val="center"/>
          </w:tcPr>
          <w:p w14:paraId="3FEB5A5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专用储存室、储存柜储存危险化学品时，禁忌物品不应同柜储存。</w:t>
            </w:r>
          </w:p>
          <w:p w14:paraId="42F57BD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未按标准规范要求分区分类储存危险化学品；超量、</w:t>
            </w:r>
            <w:proofErr w:type="gramStart"/>
            <w:r w:rsidRPr="00EF4836">
              <w:rPr>
                <w:rFonts w:ascii="仿宋_GB2312" w:eastAsia="仿宋_GB2312" w:hAnsi="仿宋_GB2312" w:cs="仿宋_GB2312" w:hint="eastAsia"/>
                <w:color w:val="000000"/>
                <w:sz w:val="20"/>
                <w:szCs w:val="20"/>
              </w:rPr>
              <w:t>超品种</w:t>
            </w:r>
            <w:proofErr w:type="gramEnd"/>
            <w:r w:rsidRPr="00EF4836">
              <w:rPr>
                <w:rFonts w:ascii="仿宋_GB2312" w:eastAsia="仿宋_GB2312" w:hAnsi="仿宋_GB2312" w:cs="仿宋_GB2312" w:hint="eastAsia"/>
                <w:color w:val="000000"/>
                <w:sz w:val="20"/>
                <w:szCs w:val="20"/>
              </w:rPr>
              <w:t>储存危险化学品；相互</w:t>
            </w:r>
            <w:proofErr w:type="gramStart"/>
            <w:r w:rsidRPr="00EF4836">
              <w:rPr>
                <w:rFonts w:ascii="仿宋_GB2312" w:eastAsia="仿宋_GB2312" w:hAnsi="仿宋_GB2312" w:cs="仿宋_GB2312" w:hint="eastAsia"/>
                <w:color w:val="000000"/>
                <w:sz w:val="20"/>
                <w:szCs w:val="20"/>
              </w:rPr>
              <w:t>禁配物质混</w:t>
            </w:r>
            <w:proofErr w:type="gramEnd"/>
            <w:r w:rsidRPr="00EF4836">
              <w:rPr>
                <w:rFonts w:ascii="仿宋_GB2312" w:eastAsia="仿宋_GB2312" w:hAnsi="仿宋_GB2312" w:cs="仿宋_GB2312" w:hint="eastAsia"/>
                <w:color w:val="000000"/>
                <w:sz w:val="20"/>
                <w:szCs w:val="20"/>
              </w:rPr>
              <w:t>放混存。</w:t>
            </w:r>
          </w:p>
        </w:tc>
        <w:tc>
          <w:tcPr>
            <w:tcW w:w="3868" w:type="dxa"/>
            <w:tcBorders>
              <w:tl2br w:val="nil"/>
              <w:tr2bl w:val="nil"/>
            </w:tcBorders>
            <w:vAlign w:val="center"/>
          </w:tcPr>
          <w:p w14:paraId="5E9BF45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1191.1-2025）第7.1.8条；</w:t>
            </w:r>
          </w:p>
          <w:p w14:paraId="1FF896C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《化工和危险化学品企业重大生产安全事故隐患判定准则（征求意见稿）》第5.5.8条；</w:t>
            </w:r>
          </w:p>
          <w:p w14:paraId="1EBD117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1191.2-2025）第6.1.9条；</w:t>
            </w:r>
          </w:p>
          <w:p w14:paraId="5654769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1191.3-2024）第7.1.6条</w:t>
            </w:r>
          </w:p>
        </w:tc>
        <w:tc>
          <w:tcPr>
            <w:tcW w:w="376" w:type="dxa"/>
            <w:tcBorders>
              <w:tl2br w:val="nil"/>
              <w:tr2bl w:val="nil"/>
            </w:tcBorders>
            <w:vAlign w:val="center"/>
          </w:tcPr>
          <w:p w14:paraId="0155A58C"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r w:rsidRPr="00EF4836">
              <w:rPr>
                <w:rFonts w:ascii="仿宋_GB2312" w:eastAsia="仿宋_GB2312" w:hAnsi="仿宋_GB2312" w:cs="仿宋_GB2312" w:hint="eastAsia"/>
                <w:b/>
                <w:color w:val="000000"/>
                <w:kern w:val="0"/>
                <w:sz w:val="20"/>
                <w:szCs w:val="20"/>
              </w:rPr>
              <w:t>★1</w:t>
            </w:r>
          </w:p>
        </w:tc>
      </w:tr>
      <w:tr w:rsidR="00EF4836" w:rsidRPr="00EF4836" w14:paraId="3D3C3DE3" w14:textId="77777777" w:rsidTr="008351BE">
        <w:trPr>
          <w:trHeight w:val="347"/>
          <w:jc w:val="center"/>
        </w:trPr>
        <w:tc>
          <w:tcPr>
            <w:tcW w:w="971" w:type="dxa"/>
            <w:tcBorders>
              <w:tl2br w:val="nil"/>
              <w:tr2bl w:val="nil"/>
            </w:tcBorders>
            <w:vAlign w:val="center"/>
          </w:tcPr>
          <w:p w14:paraId="55429A0E"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15.4.04.057</w:t>
            </w:r>
          </w:p>
        </w:tc>
        <w:tc>
          <w:tcPr>
            <w:tcW w:w="1064" w:type="dxa"/>
            <w:tcBorders>
              <w:tl2br w:val="nil"/>
              <w:tr2bl w:val="nil"/>
            </w:tcBorders>
            <w:vAlign w:val="center"/>
          </w:tcPr>
          <w:p w14:paraId="771CFDB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2E3E9EF7"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作业环境类</w:t>
            </w:r>
          </w:p>
        </w:tc>
        <w:tc>
          <w:tcPr>
            <w:tcW w:w="2861" w:type="dxa"/>
            <w:tcBorders>
              <w:tl2br w:val="nil"/>
              <w:tr2bl w:val="nil"/>
            </w:tcBorders>
            <w:vAlign w:val="center"/>
          </w:tcPr>
          <w:p w14:paraId="33652DD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储存设施被遮挡、占压消防设备、安全设施、安全标志和人员疏散通道。</w:t>
            </w:r>
          </w:p>
        </w:tc>
        <w:tc>
          <w:tcPr>
            <w:tcW w:w="3889" w:type="dxa"/>
            <w:tcBorders>
              <w:tl2br w:val="nil"/>
              <w:tr2bl w:val="nil"/>
            </w:tcBorders>
            <w:vAlign w:val="center"/>
          </w:tcPr>
          <w:p w14:paraId="4B9C6F3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危险化学品储存场所内的储存设施不应遮挡、占压消防设备、安全设施、安全标志和人员疏散通道。</w:t>
            </w:r>
          </w:p>
        </w:tc>
        <w:tc>
          <w:tcPr>
            <w:tcW w:w="3868" w:type="dxa"/>
            <w:tcBorders>
              <w:tl2br w:val="nil"/>
              <w:tr2bl w:val="nil"/>
            </w:tcBorders>
            <w:vAlign w:val="center"/>
          </w:tcPr>
          <w:p w14:paraId="4B63703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1191.1-2025）第7.1.7条</w:t>
            </w:r>
          </w:p>
        </w:tc>
        <w:tc>
          <w:tcPr>
            <w:tcW w:w="376" w:type="dxa"/>
            <w:tcBorders>
              <w:tl2br w:val="nil"/>
              <w:tr2bl w:val="nil"/>
            </w:tcBorders>
            <w:vAlign w:val="center"/>
          </w:tcPr>
          <w:p w14:paraId="40D4C2A6"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487E785A" w14:textId="77777777" w:rsidTr="008351BE">
        <w:trPr>
          <w:trHeight w:val="347"/>
          <w:jc w:val="center"/>
        </w:trPr>
        <w:tc>
          <w:tcPr>
            <w:tcW w:w="971" w:type="dxa"/>
            <w:tcBorders>
              <w:tl2br w:val="nil"/>
              <w:tr2bl w:val="nil"/>
            </w:tcBorders>
            <w:vAlign w:val="center"/>
          </w:tcPr>
          <w:p w14:paraId="4B1EF04D"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15.4.04.058</w:t>
            </w:r>
          </w:p>
        </w:tc>
        <w:tc>
          <w:tcPr>
            <w:tcW w:w="1064" w:type="dxa"/>
            <w:tcBorders>
              <w:tl2br w:val="nil"/>
              <w:tr2bl w:val="nil"/>
            </w:tcBorders>
            <w:vAlign w:val="center"/>
          </w:tcPr>
          <w:p w14:paraId="7CF594B5"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7456E2AE"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作业环境类</w:t>
            </w:r>
          </w:p>
        </w:tc>
        <w:tc>
          <w:tcPr>
            <w:tcW w:w="2861" w:type="dxa"/>
            <w:tcBorders>
              <w:tl2br w:val="nil"/>
              <w:tr2bl w:val="nil"/>
            </w:tcBorders>
            <w:vAlign w:val="center"/>
          </w:tcPr>
          <w:p w14:paraId="4443220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proofErr w:type="gramStart"/>
            <w:r w:rsidRPr="00EF4836">
              <w:rPr>
                <w:rFonts w:ascii="仿宋_GB2312" w:eastAsia="仿宋_GB2312" w:hAnsi="仿宋_GB2312" w:cs="仿宋_GB2312" w:hint="eastAsia"/>
                <w:color w:val="000000"/>
                <w:sz w:val="20"/>
                <w:szCs w:val="20"/>
              </w:rPr>
              <w:t>储存柜被阳光</w:t>
            </w:r>
            <w:proofErr w:type="gramEnd"/>
            <w:r w:rsidRPr="00EF4836">
              <w:rPr>
                <w:rFonts w:ascii="仿宋_GB2312" w:eastAsia="仿宋_GB2312" w:hAnsi="仿宋_GB2312" w:cs="仿宋_GB2312" w:hint="eastAsia"/>
                <w:color w:val="000000"/>
                <w:sz w:val="20"/>
                <w:szCs w:val="20"/>
              </w:rPr>
              <w:t>直晒及靠近暖气等热源，贴邻实验台设置。</w:t>
            </w:r>
          </w:p>
        </w:tc>
        <w:tc>
          <w:tcPr>
            <w:tcW w:w="3889" w:type="dxa"/>
            <w:tcBorders>
              <w:tl2br w:val="nil"/>
              <w:tr2bl w:val="nil"/>
            </w:tcBorders>
            <w:vAlign w:val="center"/>
          </w:tcPr>
          <w:p w14:paraId="5E7D20E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储存柜应避免阳光直晒及靠近暖气等热源，不宜贴邻实验台设置。</w:t>
            </w:r>
          </w:p>
        </w:tc>
        <w:tc>
          <w:tcPr>
            <w:tcW w:w="3868" w:type="dxa"/>
            <w:tcBorders>
              <w:tl2br w:val="nil"/>
              <w:tr2bl w:val="nil"/>
            </w:tcBorders>
            <w:vAlign w:val="center"/>
          </w:tcPr>
          <w:p w14:paraId="0164779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1191.1-2025）第7.1.9条</w:t>
            </w:r>
          </w:p>
        </w:tc>
        <w:tc>
          <w:tcPr>
            <w:tcW w:w="376" w:type="dxa"/>
            <w:tcBorders>
              <w:tl2br w:val="nil"/>
              <w:tr2bl w:val="nil"/>
            </w:tcBorders>
            <w:vAlign w:val="center"/>
          </w:tcPr>
          <w:p w14:paraId="064CB9BF"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4DE9F917" w14:textId="77777777" w:rsidTr="008351BE">
        <w:trPr>
          <w:trHeight w:val="347"/>
          <w:jc w:val="center"/>
        </w:trPr>
        <w:tc>
          <w:tcPr>
            <w:tcW w:w="971" w:type="dxa"/>
            <w:tcBorders>
              <w:tl2br w:val="nil"/>
              <w:tr2bl w:val="nil"/>
            </w:tcBorders>
            <w:vAlign w:val="center"/>
          </w:tcPr>
          <w:p w14:paraId="36DC013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15.2.14.059</w:t>
            </w:r>
          </w:p>
        </w:tc>
        <w:tc>
          <w:tcPr>
            <w:tcW w:w="1064" w:type="dxa"/>
            <w:tcBorders>
              <w:tl2br w:val="nil"/>
              <w:tr2bl w:val="nil"/>
            </w:tcBorders>
            <w:vAlign w:val="center"/>
          </w:tcPr>
          <w:p w14:paraId="3127D135"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5F91AE80"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其它类</w:t>
            </w:r>
          </w:p>
        </w:tc>
        <w:tc>
          <w:tcPr>
            <w:tcW w:w="2861" w:type="dxa"/>
            <w:tcBorders>
              <w:tl2br w:val="nil"/>
              <w:tr2bl w:val="nil"/>
            </w:tcBorders>
            <w:vAlign w:val="center"/>
          </w:tcPr>
          <w:p w14:paraId="72E052F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工业企业实验室及储存场所储存液体类危险化学品</w:t>
            </w:r>
            <w:proofErr w:type="gramStart"/>
            <w:r w:rsidRPr="00EF4836">
              <w:rPr>
                <w:rFonts w:ascii="仿宋_GB2312" w:eastAsia="仿宋_GB2312" w:hAnsi="仿宋_GB2312" w:cs="仿宋_GB2312" w:hint="eastAsia"/>
                <w:color w:val="000000"/>
                <w:sz w:val="20"/>
                <w:szCs w:val="20"/>
              </w:rPr>
              <w:t>无防遗洒措施</w:t>
            </w:r>
            <w:proofErr w:type="gramEnd"/>
            <w:r w:rsidRPr="00EF4836">
              <w:rPr>
                <w:rFonts w:ascii="仿宋_GB2312" w:eastAsia="仿宋_GB2312" w:hAnsi="仿宋_GB2312" w:cs="仿宋_GB2312" w:hint="eastAsia"/>
                <w:color w:val="000000"/>
                <w:sz w:val="20"/>
                <w:szCs w:val="20"/>
              </w:rPr>
              <w:t>；托盘的容量过小。</w:t>
            </w:r>
          </w:p>
        </w:tc>
        <w:tc>
          <w:tcPr>
            <w:tcW w:w="3889" w:type="dxa"/>
            <w:tcBorders>
              <w:tl2br w:val="nil"/>
              <w:tr2bl w:val="nil"/>
            </w:tcBorders>
            <w:vAlign w:val="center"/>
          </w:tcPr>
          <w:p w14:paraId="22DADDB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储存液体类危险化学品应有</w:t>
            </w:r>
            <w:proofErr w:type="gramStart"/>
            <w:r w:rsidRPr="00EF4836">
              <w:rPr>
                <w:rFonts w:ascii="仿宋_GB2312" w:eastAsia="仿宋_GB2312" w:hAnsi="仿宋_GB2312" w:cs="仿宋_GB2312" w:hint="eastAsia"/>
                <w:color w:val="000000"/>
                <w:sz w:val="20"/>
                <w:szCs w:val="20"/>
              </w:rPr>
              <w:t>防遗洒措施</w:t>
            </w:r>
            <w:proofErr w:type="gramEnd"/>
            <w:r w:rsidRPr="00EF4836">
              <w:rPr>
                <w:rFonts w:ascii="仿宋_GB2312" w:eastAsia="仿宋_GB2312" w:hAnsi="仿宋_GB2312" w:cs="仿宋_GB2312" w:hint="eastAsia"/>
                <w:color w:val="000000"/>
                <w:sz w:val="20"/>
                <w:szCs w:val="20"/>
              </w:rPr>
              <w:t>；托盘存放时，托盘的容量不宜小于托盘中最大容器容积的150%和所有容器容积总和的10%中的最大者。</w:t>
            </w:r>
          </w:p>
        </w:tc>
        <w:tc>
          <w:tcPr>
            <w:tcW w:w="3868" w:type="dxa"/>
            <w:tcBorders>
              <w:tl2br w:val="nil"/>
              <w:tr2bl w:val="nil"/>
            </w:tcBorders>
            <w:vAlign w:val="center"/>
          </w:tcPr>
          <w:p w14:paraId="41787A3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1191.1-2025）第7.1.10条</w:t>
            </w:r>
          </w:p>
        </w:tc>
        <w:tc>
          <w:tcPr>
            <w:tcW w:w="376" w:type="dxa"/>
            <w:tcBorders>
              <w:tl2br w:val="nil"/>
              <w:tr2bl w:val="nil"/>
            </w:tcBorders>
            <w:vAlign w:val="center"/>
          </w:tcPr>
          <w:p w14:paraId="45F472EE"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3CC97336" w14:textId="77777777" w:rsidTr="008351BE">
        <w:trPr>
          <w:trHeight w:val="347"/>
          <w:jc w:val="center"/>
        </w:trPr>
        <w:tc>
          <w:tcPr>
            <w:tcW w:w="971" w:type="dxa"/>
            <w:tcBorders>
              <w:tl2br w:val="nil"/>
              <w:tr2bl w:val="nil"/>
            </w:tcBorders>
            <w:vAlign w:val="center"/>
          </w:tcPr>
          <w:p w14:paraId="2405BF0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15.3.14.060</w:t>
            </w:r>
          </w:p>
        </w:tc>
        <w:tc>
          <w:tcPr>
            <w:tcW w:w="1064" w:type="dxa"/>
            <w:tcBorders>
              <w:tl2br w:val="nil"/>
              <w:tr2bl w:val="nil"/>
            </w:tcBorders>
            <w:vAlign w:val="center"/>
          </w:tcPr>
          <w:p w14:paraId="0B7E1097"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7E4F284D"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其它类</w:t>
            </w:r>
          </w:p>
        </w:tc>
        <w:tc>
          <w:tcPr>
            <w:tcW w:w="2861" w:type="dxa"/>
            <w:tcBorders>
              <w:tl2br w:val="nil"/>
              <w:tr2bl w:val="nil"/>
            </w:tcBorders>
            <w:vAlign w:val="center"/>
          </w:tcPr>
          <w:p w14:paraId="3DC9FBB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汇流排间储存气瓶。</w:t>
            </w:r>
          </w:p>
        </w:tc>
        <w:tc>
          <w:tcPr>
            <w:tcW w:w="3889" w:type="dxa"/>
            <w:tcBorders>
              <w:tl2br w:val="nil"/>
              <w:tr2bl w:val="nil"/>
            </w:tcBorders>
            <w:vAlign w:val="center"/>
          </w:tcPr>
          <w:p w14:paraId="08C9C0E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气体汇流排间不应储存气瓶。确需储存备用气瓶时，该汇流排间所有气瓶计入储存气瓶总数。</w:t>
            </w:r>
          </w:p>
        </w:tc>
        <w:tc>
          <w:tcPr>
            <w:tcW w:w="3868" w:type="dxa"/>
            <w:tcBorders>
              <w:tl2br w:val="nil"/>
              <w:tr2bl w:val="nil"/>
            </w:tcBorders>
            <w:vAlign w:val="center"/>
          </w:tcPr>
          <w:p w14:paraId="3EF9D3E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1191.1-2025）第7.1.11条</w:t>
            </w:r>
          </w:p>
          <w:p w14:paraId="11422B8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1191.2-2025）第7.4.8条</w:t>
            </w:r>
          </w:p>
          <w:p w14:paraId="328D2DF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p>
        </w:tc>
        <w:tc>
          <w:tcPr>
            <w:tcW w:w="376" w:type="dxa"/>
            <w:tcBorders>
              <w:tl2br w:val="nil"/>
              <w:tr2bl w:val="nil"/>
            </w:tcBorders>
            <w:vAlign w:val="center"/>
          </w:tcPr>
          <w:p w14:paraId="6D284419"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4C534C0A" w14:textId="77777777" w:rsidTr="008351BE">
        <w:trPr>
          <w:trHeight w:val="517"/>
          <w:jc w:val="center"/>
        </w:trPr>
        <w:tc>
          <w:tcPr>
            <w:tcW w:w="14118" w:type="dxa"/>
            <w:gridSpan w:val="7"/>
            <w:tcBorders>
              <w:tl2br w:val="nil"/>
              <w:tr2bl w:val="nil"/>
            </w:tcBorders>
            <w:shd w:val="clear" w:color="auto" w:fill="95B3D7"/>
            <w:vAlign w:val="center"/>
          </w:tcPr>
          <w:p w14:paraId="1755A979"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r w:rsidRPr="00EF4836">
              <w:rPr>
                <w:rFonts w:ascii="仿宋_GB2312" w:eastAsia="仿宋_GB2312" w:hAnsi="仿宋_GB2312" w:cs="仿宋_GB2312" w:hint="eastAsia"/>
                <w:b/>
                <w:color w:val="000000"/>
                <w:kern w:val="0"/>
                <w:sz w:val="20"/>
                <w:szCs w:val="20"/>
                <w:lang w:bidi="ar"/>
              </w:rPr>
              <w:t>实验室储存</w:t>
            </w:r>
          </w:p>
        </w:tc>
      </w:tr>
      <w:tr w:rsidR="00EF4836" w:rsidRPr="00EF4836" w14:paraId="5A4304F2" w14:textId="77777777" w:rsidTr="008351BE">
        <w:trPr>
          <w:trHeight w:val="347"/>
          <w:jc w:val="center"/>
        </w:trPr>
        <w:tc>
          <w:tcPr>
            <w:tcW w:w="971" w:type="dxa"/>
            <w:tcBorders>
              <w:tl2br w:val="nil"/>
              <w:tr2bl w:val="nil"/>
            </w:tcBorders>
            <w:vAlign w:val="center"/>
          </w:tcPr>
          <w:p w14:paraId="3299079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15.2.12.061</w:t>
            </w:r>
          </w:p>
        </w:tc>
        <w:tc>
          <w:tcPr>
            <w:tcW w:w="1064" w:type="dxa"/>
            <w:tcBorders>
              <w:tl2br w:val="nil"/>
              <w:tr2bl w:val="nil"/>
            </w:tcBorders>
            <w:vAlign w:val="center"/>
          </w:tcPr>
          <w:p w14:paraId="33C59555"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3DFEB76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危险化学品类</w:t>
            </w:r>
          </w:p>
        </w:tc>
        <w:tc>
          <w:tcPr>
            <w:tcW w:w="2861" w:type="dxa"/>
            <w:tcBorders>
              <w:tl2br w:val="nil"/>
              <w:tr2bl w:val="nil"/>
            </w:tcBorders>
            <w:vAlign w:val="center"/>
          </w:tcPr>
          <w:p w14:paraId="6FCF600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在实验台、实验台上货架、台下柜储存危险化学品，实验室危险化学品未储存在危险化学品储存柜中。</w:t>
            </w:r>
          </w:p>
        </w:tc>
        <w:tc>
          <w:tcPr>
            <w:tcW w:w="3889" w:type="dxa"/>
            <w:tcBorders>
              <w:tl2br w:val="nil"/>
              <w:tr2bl w:val="nil"/>
            </w:tcBorders>
            <w:vAlign w:val="center"/>
          </w:tcPr>
          <w:p w14:paraId="01A3FCC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实验室危险化学品应储存在危险化学品储存柜中。实验台、实验台上货架、台下柜不应储存危险化学品。</w:t>
            </w:r>
          </w:p>
        </w:tc>
        <w:tc>
          <w:tcPr>
            <w:tcW w:w="3868" w:type="dxa"/>
            <w:tcBorders>
              <w:tl2br w:val="nil"/>
              <w:tr2bl w:val="nil"/>
            </w:tcBorders>
            <w:vAlign w:val="center"/>
          </w:tcPr>
          <w:p w14:paraId="0B25517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1191.1-2025）第7.4.1条；</w:t>
            </w:r>
          </w:p>
          <w:p w14:paraId="31B2D65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1191.3-2024）第7.2.1条f)</w:t>
            </w:r>
          </w:p>
        </w:tc>
        <w:tc>
          <w:tcPr>
            <w:tcW w:w="376" w:type="dxa"/>
            <w:tcBorders>
              <w:tl2br w:val="nil"/>
              <w:tr2bl w:val="nil"/>
            </w:tcBorders>
          </w:tcPr>
          <w:p w14:paraId="34D4941E"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5EC0B041" w14:textId="77777777" w:rsidTr="008351BE">
        <w:trPr>
          <w:trHeight w:val="347"/>
          <w:jc w:val="center"/>
        </w:trPr>
        <w:tc>
          <w:tcPr>
            <w:tcW w:w="971" w:type="dxa"/>
            <w:tcBorders>
              <w:tl2br w:val="nil"/>
              <w:tr2bl w:val="nil"/>
            </w:tcBorders>
            <w:vAlign w:val="center"/>
          </w:tcPr>
          <w:p w14:paraId="5821A964"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15.2.12.062</w:t>
            </w:r>
          </w:p>
        </w:tc>
        <w:tc>
          <w:tcPr>
            <w:tcW w:w="1064" w:type="dxa"/>
            <w:tcBorders>
              <w:tl2br w:val="nil"/>
              <w:tr2bl w:val="nil"/>
            </w:tcBorders>
            <w:vAlign w:val="center"/>
          </w:tcPr>
          <w:p w14:paraId="1E6C520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3C936AD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危险化学品类</w:t>
            </w:r>
          </w:p>
        </w:tc>
        <w:tc>
          <w:tcPr>
            <w:tcW w:w="2861" w:type="dxa"/>
            <w:tcBorders>
              <w:tl2br w:val="nil"/>
              <w:tr2bl w:val="nil"/>
            </w:tcBorders>
            <w:vAlign w:val="center"/>
          </w:tcPr>
          <w:p w14:paraId="7E76E94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每间实验室内超量存放的危险化学品放总量</w:t>
            </w:r>
          </w:p>
          <w:p w14:paraId="32E0894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普通高等学校实验室（实训场所）内超量存放危险化学品</w:t>
            </w:r>
          </w:p>
        </w:tc>
        <w:tc>
          <w:tcPr>
            <w:tcW w:w="3889" w:type="dxa"/>
            <w:tcBorders>
              <w:tl2br w:val="nil"/>
              <w:tr2bl w:val="nil"/>
            </w:tcBorders>
            <w:vAlign w:val="center"/>
          </w:tcPr>
          <w:p w14:paraId="6AFF816B" w14:textId="1356A004"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每间实验室内存放的除压缩气体和液化气体外的危险化学品存放总量不应超过100L或100kg，其中易燃液体类危险化学品的存放总量不应超过50L或50kg。</w:t>
            </w:r>
          </w:p>
          <w:p w14:paraId="6714E62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第六条（九）实验室（实训场所）内超量存放危险化学品</w:t>
            </w:r>
          </w:p>
        </w:tc>
        <w:tc>
          <w:tcPr>
            <w:tcW w:w="3868" w:type="dxa"/>
            <w:tcBorders>
              <w:tl2br w:val="nil"/>
              <w:tr2bl w:val="nil"/>
            </w:tcBorders>
            <w:vAlign w:val="center"/>
          </w:tcPr>
          <w:p w14:paraId="27CE187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《教育系统重大事故隐患判定指南》第六条（九）；</w:t>
            </w:r>
          </w:p>
          <w:p w14:paraId="288CA2A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1191.1-2025）第7.4.2条；</w:t>
            </w:r>
          </w:p>
          <w:p w14:paraId="3649E22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1191.2-2025）第7.3.3条a);</w:t>
            </w:r>
          </w:p>
          <w:p w14:paraId="4B76A09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w:t>
            </w:r>
            <w:r w:rsidRPr="00EF4836">
              <w:rPr>
                <w:rFonts w:ascii="仿宋_GB2312" w:eastAsia="仿宋_GB2312" w:hAnsi="仿宋_GB2312" w:cs="仿宋_GB2312" w:hint="eastAsia"/>
                <w:color w:val="000000"/>
                <w:sz w:val="20"/>
                <w:szCs w:val="20"/>
              </w:rPr>
              <w:lastRenderedPageBreak/>
              <w:t>分：科研单位》（DB11/T 1191.3-2024）第7.2.1条a);</w:t>
            </w:r>
          </w:p>
        </w:tc>
        <w:tc>
          <w:tcPr>
            <w:tcW w:w="376" w:type="dxa"/>
            <w:tcBorders>
              <w:tl2br w:val="nil"/>
              <w:tr2bl w:val="nil"/>
            </w:tcBorders>
            <w:vAlign w:val="center"/>
          </w:tcPr>
          <w:p w14:paraId="20FB2B81"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r w:rsidRPr="00EF4836">
              <w:rPr>
                <w:rFonts w:ascii="仿宋_GB2312" w:eastAsia="仿宋_GB2312" w:hAnsi="仿宋_GB2312" w:cs="仿宋_GB2312" w:hint="eastAsia"/>
                <w:b/>
                <w:color w:val="000000"/>
                <w:kern w:val="0"/>
                <w:sz w:val="20"/>
                <w:szCs w:val="20"/>
              </w:rPr>
              <w:lastRenderedPageBreak/>
              <w:t>★2</w:t>
            </w:r>
          </w:p>
        </w:tc>
      </w:tr>
      <w:tr w:rsidR="00EF4836" w:rsidRPr="00EF4836" w14:paraId="11B79E9B" w14:textId="77777777" w:rsidTr="008351BE">
        <w:trPr>
          <w:trHeight w:val="347"/>
          <w:jc w:val="center"/>
        </w:trPr>
        <w:tc>
          <w:tcPr>
            <w:tcW w:w="971" w:type="dxa"/>
            <w:tcBorders>
              <w:tl2br w:val="nil"/>
              <w:tr2bl w:val="nil"/>
            </w:tcBorders>
            <w:vAlign w:val="center"/>
          </w:tcPr>
          <w:p w14:paraId="213696E4"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15.2.11.063</w:t>
            </w:r>
          </w:p>
        </w:tc>
        <w:tc>
          <w:tcPr>
            <w:tcW w:w="1064" w:type="dxa"/>
            <w:tcBorders>
              <w:tl2br w:val="nil"/>
              <w:tr2bl w:val="nil"/>
            </w:tcBorders>
            <w:vAlign w:val="center"/>
          </w:tcPr>
          <w:p w14:paraId="4647642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3BDAC06E"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其他设备设施类</w:t>
            </w:r>
          </w:p>
        </w:tc>
        <w:tc>
          <w:tcPr>
            <w:tcW w:w="2861" w:type="dxa"/>
            <w:tcBorders>
              <w:tl2br w:val="nil"/>
              <w:tr2bl w:val="nil"/>
            </w:tcBorders>
            <w:vAlign w:val="center"/>
          </w:tcPr>
          <w:p w14:paraId="52150AA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实验室内储存备用气瓶、空瓶，在用气瓶未放置在气瓶柜内。</w:t>
            </w:r>
          </w:p>
        </w:tc>
        <w:tc>
          <w:tcPr>
            <w:tcW w:w="3889" w:type="dxa"/>
            <w:tcBorders>
              <w:tl2br w:val="nil"/>
              <w:tr2bl w:val="nil"/>
            </w:tcBorders>
            <w:vAlign w:val="center"/>
          </w:tcPr>
          <w:p w14:paraId="0C45DE6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实验室内不应储存备用气瓶、空瓶，在用气瓶宜放置在气瓶柜内。</w:t>
            </w:r>
          </w:p>
        </w:tc>
        <w:tc>
          <w:tcPr>
            <w:tcW w:w="3868" w:type="dxa"/>
            <w:tcBorders>
              <w:tl2br w:val="nil"/>
              <w:tr2bl w:val="nil"/>
            </w:tcBorders>
            <w:vAlign w:val="center"/>
          </w:tcPr>
          <w:p w14:paraId="6F72621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1191.1-2025）第8.3.2条；《实验室危险化学品安全管理要求 第2部分：普通高等学校》（DB11/T 1191.2-2025）第5.3.7、7.4.5条；</w:t>
            </w:r>
          </w:p>
          <w:p w14:paraId="122B226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1191.3-2024）第6.2.3条</w:t>
            </w:r>
          </w:p>
        </w:tc>
        <w:tc>
          <w:tcPr>
            <w:tcW w:w="376" w:type="dxa"/>
            <w:tcBorders>
              <w:tl2br w:val="nil"/>
              <w:tr2bl w:val="nil"/>
            </w:tcBorders>
            <w:vAlign w:val="center"/>
          </w:tcPr>
          <w:p w14:paraId="1BD33C29"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28F21D55" w14:textId="77777777" w:rsidTr="008351BE">
        <w:trPr>
          <w:trHeight w:val="347"/>
          <w:jc w:val="center"/>
        </w:trPr>
        <w:tc>
          <w:tcPr>
            <w:tcW w:w="971" w:type="dxa"/>
            <w:tcBorders>
              <w:tl2br w:val="nil"/>
              <w:tr2bl w:val="nil"/>
            </w:tcBorders>
            <w:vAlign w:val="center"/>
          </w:tcPr>
          <w:p w14:paraId="4C4C4C24"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15.2.12.064</w:t>
            </w:r>
          </w:p>
        </w:tc>
        <w:tc>
          <w:tcPr>
            <w:tcW w:w="1064" w:type="dxa"/>
            <w:tcBorders>
              <w:tl2br w:val="nil"/>
              <w:tr2bl w:val="nil"/>
            </w:tcBorders>
            <w:vAlign w:val="center"/>
          </w:tcPr>
          <w:p w14:paraId="2611E4E2"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178689D8"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危险化学品类</w:t>
            </w:r>
          </w:p>
        </w:tc>
        <w:tc>
          <w:tcPr>
            <w:tcW w:w="2861" w:type="dxa"/>
            <w:tcBorders>
              <w:tl2br w:val="nil"/>
              <w:tr2bl w:val="nil"/>
            </w:tcBorders>
            <w:vAlign w:val="center"/>
          </w:tcPr>
          <w:p w14:paraId="1F62F1D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易燃液体类、氧化性和有机过氧化物类危险化学品单一包装容器超量。</w:t>
            </w:r>
          </w:p>
        </w:tc>
        <w:tc>
          <w:tcPr>
            <w:tcW w:w="3889" w:type="dxa"/>
            <w:tcBorders>
              <w:tl2br w:val="nil"/>
              <w:tr2bl w:val="nil"/>
            </w:tcBorders>
            <w:vAlign w:val="center"/>
          </w:tcPr>
          <w:p w14:paraId="31E4C52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易燃液体类、氧化性和有机过氧化物类危险化学品单一包装容器不应大于25L或25kg。</w:t>
            </w:r>
          </w:p>
        </w:tc>
        <w:tc>
          <w:tcPr>
            <w:tcW w:w="3868" w:type="dxa"/>
            <w:tcBorders>
              <w:tl2br w:val="nil"/>
              <w:tr2bl w:val="nil"/>
            </w:tcBorders>
            <w:vAlign w:val="center"/>
          </w:tcPr>
          <w:p w14:paraId="306C79A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 xml:space="preserve">《实验室危险化学品安全管理要求 第1部分：工业企业》（DB11/T 1191.1-2025）第7.4.4条; </w:t>
            </w:r>
          </w:p>
          <w:p w14:paraId="4C82F71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1191.2-2025）第7.3.3条a);</w:t>
            </w:r>
          </w:p>
          <w:p w14:paraId="574F2DB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1191.3-2024）第7.2.1条a)</w:t>
            </w:r>
          </w:p>
        </w:tc>
        <w:tc>
          <w:tcPr>
            <w:tcW w:w="376" w:type="dxa"/>
            <w:tcBorders>
              <w:tl2br w:val="nil"/>
              <w:tr2bl w:val="nil"/>
            </w:tcBorders>
            <w:vAlign w:val="center"/>
          </w:tcPr>
          <w:p w14:paraId="139A7E75"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74249CDF" w14:textId="77777777" w:rsidTr="008351BE">
        <w:trPr>
          <w:trHeight w:val="347"/>
          <w:jc w:val="center"/>
        </w:trPr>
        <w:tc>
          <w:tcPr>
            <w:tcW w:w="971" w:type="dxa"/>
            <w:tcBorders>
              <w:tl2br w:val="nil"/>
              <w:tr2bl w:val="nil"/>
            </w:tcBorders>
            <w:vAlign w:val="center"/>
          </w:tcPr>
          <w:p w14:paraId="6B5BFCA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15.2.12.065</w:t>
            </w:r>
          </w:p>
        </w:tc>
        <w:tc>
          <w:tcPr>
            <w:tcW w:w="1064" w:type="dxa"/>
            <w:tcBorders>
              <w:tl2br w:val="nil"/>
              <w:tr2bl w:val="nil"/>
            </w:tcBorders>
            <w:vAlign w:val="center"/>
          </w:tcPr>
          <w:p w14:paraId="42F8640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4E22B7A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危险化学品类</w:t>
            </w:r>
          </w:p>
        </w:tc>
        <w:tc>
          <w:tcPr>
            <w:tcW w:w="2861" w:type="dxa"/>
            <w:tcBorders>
              <w:tl2br w:val="nil"/>
              <w:tr2bl w:val="nil"/>
            </w:tcBorders>
            <w:vAlign w:val="center"/>
          </w:tcPr>
          <w:p w14:paraId="24ECBB0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需要低温储存的易燃易爆危险化学品未存放在专用防爆型冰箱内。</w:t>
            </w:r>
          </w:p>
        </w:tc>
        <w:tc>
          <w:tcPr>
            <w:tcW w:w="3889" w:type="dxa"/>
            <w:tcBorders>
              <w:tl2br w:val="nil"/>
              <w:tr2bl w:val="nil"/>
            </w:tcBorders>
            <w:vAlign w:val="center"/>
          </w:tcPr>
          <w:p w14:paraId="28D0570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需要低温储存的易燃易爆危险化学品应存放在专用防爆型冰箱内。</w:t>
            </w:r>
          </w:p>
        </w:tc>
        <w:tc>
          <w:tcPr>
            <w:tcW w:w="3868" w:type="dxa"/>
            <w:tcBorders>
              <w:tl2br w:val="nil"/>
              <w:tr2bl w:val="nil"/>
            </w:tcBorders>
            <w:vAlign w:val="center"/>
          </w:tcPr>
          <w:p w14:paraId="5BA6C28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 xml:space="preserve">《实验室危险化学品安全管理要求 第1部分：工业企业》（DB11/T 1191.1-2025）第7.4.5条; </w:t>
            </w:r>
          </w:p>
          <w:p w14:paraId="278207A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1191.2-2025）第7.3.2条b);</w:t>
            </w:r>
          </w:p>
          <w:p w14:paraId="426CF54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1191.3-2024）第7.2.3条a)</w:t>
            </w:r>
          </w:p>
        </w:tc>
        <w:tc>
          <w:tcPr>
            <w:tcW w:w="376" w:type="dxa"/>
            <w:tcBorders>
              <w:tl2br w:val="nil"/>
              <w:tr2bl w:val="nil"/>
            </w:tcBorders>
            <w:vAlign w:val="center"/>
          </w:tcPr>
          <w:p w14:paraId="690B5E11"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319024F8" w14:textId="77777777" w:rsidTr="008351BE">
        <w:trPr>
          <w:trHeight w:val="347"/>
          <w:jc w:val="center"/>
        </w:trPr>
        <w:tc>
          <w:tcPr>
            <w:tcW w:w="971" w:type="dxa"/>
            <w:tcBorders>
              <w:tl2br w:val="nil"/>
              <w:tr2bl w:val="nil"/>
            </w:tcBorders>
            <w:vAlign w:val="center"/>
          </w:tcPr>
          <w:p w14:paraId="3BA30A07"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15.2.12.066</w:t>
            </w:r>
          </w:p>
        </w:tc>
        <w:tc>
          <w:tcPr>
            <w:tcW w:w="1064" w:type="dxa"/>
            <w:tcBorders>
              <w:tl2br w:val="nil"/>
              <w:tr2bl w:val="nil"/>
            </w:tcBorders>
            <w:vAlign w:val="center"/>
          </w:tcPr>
          <w:p w14:paraId="78C4817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25A8752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危险化学品类</w:t>
            </w:r>
          </w:p>
        </w:tc>
        <w:tc>
          <w:tcPr>
            <w:tcW w:w="2861" w:type="dxa"/>
            <w:tcBorders>
              <w:tl2br w:val="nil"/>
              <w:tr2bl w:val="nil"/>
            </w:tcBorders>
            <w:vAlign w:val="center"/>
          </w:tcPr>
          <w:p w14:paraId="4AA3EE0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腐蚀性化学品未单独放在耐腐蚀材料制成的储存柜或容器中。</w:t>
            </w:r>
          </w:p>
        </w:tc>
        <w:tc>
          <w:tcPr>
            <w:tcW w:w="3889" w:type="dxa"/>
            <w:tcBorders>
              <w:tl2br w:val="nil"/>
              <w:tr2bl w:val="nil"/>
            </w:tcBorders>
            <w:vAlign w:val="center"/>
          </w:tcPr>
          <w:p w14:paraId="0DEF629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腐蚀性化学品宜单独放在耐腐蚀材料制成的储存柜或容器中。</w:t>
            </w:r>
          </w:p>
        </w:tc>
        <w:tc>
          <w:tcPr>
            <w:tcW w:w="3868" w:type="dxa"/>
            <w:tcBorders>
              <w:tl2br w:val="nil"/>
              <w:tr2bl w:val="nil"/>
            </w:tcBorders>
            <w:vAlign w:val="center"/>
          </w:tcPr>
          <w:p w14:paraId="33A6828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1191.1-2025）第7.4.6条；</w:t>
            </w:r>
          </w:p>
          <w:p w14:paraId="15EAC4B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 xml:space="preserve">《实验室危险化学品安全管理要求 第2部分：普通高等学校》（DB11/T 1191.2-2025）第7.3.2条c); </w:t>
            </w:r>
          </w:p>
          <w:p w14:paraId="6A8A9A5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1191.3-2024）第7.2.3条b)</w:t>
            </w:r>
          </w:p>
        </w:tc>
        <w:tc>
          <w:tcPr>
            <w:tcW w:w="376" w:type="dxa"/>
            <w:tcBorders>
              <w:tl2br w:val="nil"/>
              <w:tr2bl w:val="nil"/>
            </w:tcBorders>
            <w:vAlign w:val="center"/>
          </w:tcPr>
          <w:p w14:paraId="624FFC55"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152A1011" w14:textId="77777777" w:rsidTr="008351BE">
        <w:trPr>
          <w:trHeight w:val="549"/>
          <w:jc w:val="center"/>
        </w:trPr>
        <w:tc>
          <w:tcPr>
            <w:tcW w:w="14118" w:type="dxa"/>
            <w:gridSpan w:val="7"/>
            <w:tcBorders>
              <w:tl2br w:val="nil"/>
              <w:tr2bl w:val="nil"/>
            </w:tcBorders>
            <w:shd w:val="clear" w:color="auto" w:fill="95B3D7"/>
            <w:vAlign w:val="center"/>
          </w:tcPr>
          <w:p w14:paraId="01E6FAA4"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r w:rsidRPr="00EF4836">
              <w:rPr>
                <w:rFonts w:ascii="仿宋_GB2312" w:eastAsia="仿宋_GB2312" w:hAnsi="仿宋_GB2312" w:cs="仿宋_GB2312" w:hint="eastAsia"/>
                <w:b/>
                <w:color w:val="000000"/>
                <w:kern w:val="0"/>
                <w:sz w:val="20"/>
                <w:szCs w:val="20"/>
                <w:lang w:bidi="ar"/>
              </w:rPr>
              <w:t>危险化学品储存柜</w:t>
            </w:r>
          </w:p>
        </w:tc>
      </w:tr>
      <w:tr w:rsidR="00EF4836" w:rsidRPr="00EF4836" w14:paraId="4442DE59" w14:textId="77777777" w:rsidTr="008351BE">
        <w:trPr>
          <w:trHeight w:val="347"/>
          <w:jc w:val="center"/>
        </w:trPr>
        <w:tc>
          <w:tcPr>
            <w:tcW w:w="971" w:type="dxa"/>
            <w:tcBorders>
              <w:tl2br w:val="nil"/>
              <w:tr2bl w:val="nil"/>
            </w:tcBorders>
            <w:vAlign w:val="center"/>
          </w:tcPr>
          <w:p w14:paraId="09B70F48"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15.4.04.067</w:t>
            </w:r>
          </w:p>
        </w:tc>
        <w:tc>
          <w:tcPr>
            <w:tcW w:w="1064" w:type="dxa"/>
            <w:tcBorders>
              <w:tl2br w:val="nil"/>
              <w:tr2bl w:val="nil"/>
            </w:tcBorders>
            <w:vAlign w:val="center"/>
          </w:tcPr>
          <w:p w14:paraId="4ED202FD"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69C988D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作业环境类</w:t>
            </w:r>
          </w:p>
        </w:tc>
        <w:tc>
          <w:tcPr>
            <w:tcW w:w="2861" w:type="dxa"/>
            <w:tcBorders>
              <w:tl2br w:val="nil"/>
              <w:tr2bl w:val="nil"/>
            </w:tcBorders>
            <w:vAlign w:val="center"/>
          </w:tcPr>
          <w:p w14:paraId="73936D4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危险化学品储存柜、气瓶柜放置于办公室、通道和露天存放。储存</w:t>
            </w:r>
            <w:proofErr w:type="gramStart"/>
            <w:r w:rsidRPr="00EF4836">
              <w:rPr>
                <w:rFonts w:ascii="仿宋_GB2312" w:eastAsia="仿宋_GB2312" w:hAnsi="仿宋_GB2312" w:cs="仿宋_GB2312" w:hint="eastAsia"/>
                <w:color w:val="000000"/>
                <w:sz w:val="20"/>
                <w:szCs w:val="20"/>
              </w:rPr>
              <w:t>柜未避免</w:t>
            </w:r>
            <w:proofErr w:type="gramEnd"/>
            <w:r w:rsidRPr="00EF4836">
              <w:rPr>
                <w:rFonts w:ascii="仿宋_GB2312" w:eastAsia="仿宋_GB2312" w:hAnsi="仿宋_GB2312" w:cs="仿宋_GB2312" w:hint="eastAsia"/>
                <w:color w:val="000000"/>
                <w:sz w:val="20"/>
                <w:szCs w:val="20"/>
              </w:rPr>
              <w:t>阳光直晒及靠近暖气等热源，贴邻实验台设置储存柜。</w:t>
            </w:r>
          </w:p>
        </w:tc>
        <w:tc>
          <w:tcPr>
            <w:tcW w:w="3889" w:type="dxa"/>
            <w:tcBorders>
              <w:tl2br w:val="nil"/>
              <w:tr2bl w:val="nil"/>
            </w:tcBorders>
            <w:vAlign w:val="center"/>
          </w:tcPr>
          <w:p w14:paraId="79D4407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危险化学品储存柜、气瓶柜禁止放置于办公室、通道和露天存放。储存柜应避免阳光直晒及靠近暖气等热源，不宜贴邻实验台设置。</w:t>
            </w:r>
          </w:p>
        </w:tc>
        <w:tc>
          <w:tcPr>
            <w:tcW w:w="3868" w:type="dxa"/>
            <w:tcBorders>
              <w:tl2br w:val="nil"/>
              <w:tr2bl w:val="nil"/>
            </w:tcBorders>
            <w:vAlign w:val="center"/>
          </w:tcPr>
          <w:p w14:paraId="5EB90E6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1191.1-2025）第7.1.9条；</w:t>
            </w:r>
          </w:p>
          <w:p w14:paraId="7C6B9B0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1191.2-2025）第7.3.4条；</w:t>
            </w:r>
          </w:p>
          <w:p w14:paraId="472657A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1191.3-2024）第7.1.7条</w:t>
            </w:r>
          </w:p>
        </w:tc>
        <w:tc>
          <w:tcPr>
            <w:tcW w:w="376" w:type="dxa"/>
            <w:tcBorders>
              <w:tl2br w:val="nil"/>
              <w:tr2bl w:val="nil"/>
            </w:tcBorders>
          </w:tcPr>
          <w:p w14:paraId="24FE20F3"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6F0E4FF8" w14:textId="77777777" w:rsidTr="008351BE">
        <w:trPr>
          <w:trHeight w:val="347"/>
          <w:jc w:val="center"/>
        </w:trPr>
        <w:tc>
          <w:tcPr>
            <w:tcW w:w="971" w:type="dxa"/>
            <w:tcBorders>
              <w:tl2br w:val="nil"/>
              <w:tr2bl w:val="nil"/>
            </w:tcBorders>
            <w:vAlign w:val="center"/>
          </w:tcPr>
          <w:p w14:paraId="5458CE87"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15.2.11.068</w:t>
            </w:r>
          </w:p>
        </w:tc>
        <w:tc>
          <w:tcPr>
            <w:tcW w:w="1064" w:type="dxa"/>
            <w:tcBorders>
              <w:tl2br w:val="nil"/>
              <w:tr2bl w:val="nil"/>
            </w:tcBorders>
            <w:vAlign w:val="center"/>
          </w:tcPr>
          <w:p w14:paraId="6DF7F4D8"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5C790092"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其他设备设施类</w:t>
            </w:r>
          </w:p>
        </w:tc>
        <w:tc>
          <w:tcPr>
            <w:tcW w:w="2861" w:type="dxa"/>
            <w:tcBorders>
              <w:tl2br w:val="nil"/>
              <w:tr2bl w:val="nil"/>
            </w:tcBorders>
            <w:vAlign w:val="center"/>
          </w:tcPr>
          <w:p w14:paraId="2917D5D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w:t>
            </w:r>
            <w:proofErr w:type="gramStart"/>
            <w:r w:rsidRPr="00EF4836">
              <w:rPr>
                <w:rFonts w:ascii="仿宋_GB2312" w:eastAsia="仿宋_GB2312" w:hAnsi="仿宋_GB2312" w:cs="仿宋_GB2312" w:hint="eastAsia"/>
                <w:color w:val="000000"/>
                <w:sz w:val="20"/>
                <w:szCs w:val="20"/>
              </w:rPr>
              <w:t>储存柜未设置</w:t>
            </w:r>
            <w:proofErr w:type="gramEnd"/>
            <w:r w:rsidRPr="00EF4836">
              <w:rPr>
                <w:rFonts w:ascii="仿宋_GB2312" w:eastAsia="仿宋_GB2312" w:hAnsi="仿宋_GB2312" w:cs="仿宋_GB2312" w:hint="eastAsia"/>
                <w:color w:val="000000"/>
                <w:sz w:val="20"/>
                <w:szCs w:val="20"/>
              </w:rPr>
              <w:t>有进风口和排风口，不具有强制通风和吸收净化功能。确实不具备设置外部通风条件的</w:t>
            </w:r>
            <w:proofErr w:type="gramStart"/>
            <w:r w:rsidRPr="00EF4836">
              <w:rPr>
                <w:rFonts w:ascii="仿宋_GB2312" w:eastAsia="仿宋_GB2312" w:hAnsi="仿宋_GB2312" w:cs="仿宋_GB2312" w:hint="eastAsia"/>
                <w:color w:val="000000"/>
                <w:sz w:val="20"/>
                <w:szCs w:val="20"/>
              </w:rPr>
              <w:t>储存柜未设置</w:t>
            </w:r>
            <w:proofErr w:type="gramEnd"/>
            <w:r w:rsidRPr="00EF4836">
              <w:rPr>
                <w:rFonts w:ascii="仿宋_GB2312" w:eastAsia="仿宋_GB2312" w:hAnsi="仿宋_GB2312" w:cs="仿宋_GB2312" w:hint="eastAsia"/>
                <w:color w:val="000000"/>
                <w:sz w:val="20"/>
                <w:szCs w:val="20"/>
              </w:rPr>
              <w:t>过滤系统。存放剧毒或高毒气体的</w:t>
            </w:r>
            <w:proofErr w:type="gramStart"/>
            <w:r w:rsidRPr="00EF4836">
              <w:rPr>
                <w:rFonts w:ascii="仿宋_GB2312" w:eastAsia="仿宋_GB2312" w:hAnsi="仿宋_GB2312" w:cs="仿宋_GB2312" w:hint="eastAsia"/>
                <w:color w:val="000000"/>
                <w:sz w:val="20"/>
                <w:szCs w:val="20"/>
              </w:rPr>
              <w:t>气瓶柜未连接</w:t>
            </w:r>
            <w:proofErr w:type="gramEnd"/>
            <w:r w:rsidRPr="00EF4836">
              <w:rPr>
                <w:rFonts w:ascii="仿宋_GB2312" w:eastAsia="仿宋_GB2312" w:hAnsi="仿宋_GB2312" w:cs="仿宋_GB2312" w:hint="eastAsia"/>
                <w:color w:val="000000"/>
                <w:sz w:val="20"/>
                <w:szCs w:val="20"/>
              </w:rPr>
              <w:t>到通风设施。</w:t>
            </w:r>
          </w:p>
        </w:tc>
        <w:tc>
          <w:tcPr>
            <w:tcW w:w="3889" w:type="dxa"/>
            <w:tcBorders>
              <w:tl2br w:val="nil"/>
              <w:tr2bl w:val="nil"/>
            </w:tcBorders>
            <w:vAlign w:val="center"/>
          </w:tcPr>
          <w:p w14:paraId="1273ECD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危险化学品储存柜应有进风口和排风口，应具有强制通风和吸收净化功能。确实不具备设置外部通风条件的储存柜应设置过滤系统。存放剧毒或高毒气体的气瓶柜应连接到通风设施。</w:t>
            </w:r>
          </w:p>
        </w:tc>
        <w:tc>
          <w:tcPr>
            <w:tcW w:w="3868" w:type="dxa"/>
            <w:tcBorders>
              <w:tl2br w:val="nil"/>
              <w:tr2bl w:val="nil"/>
            </w:tcBorders>
            <w:vAlign w:val="center"/>
          </w:tcPr>
          <w:p w14:paraId="04524D2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1191.1-2025）第6.10条；</w:t>
            </w:r>
          </w:p>
          <w:p w14:paraId="646772F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1191.2-2025）第6.10条；</w:t>
            </w:r>
          </w:p>
          <w:p w14:paraId="6FB3443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w:t>
            </w:r>
            <w:r w:rsidRPr="00EF4836">
              <w:rPr>
                <w:rFonts w:ascii="仿宋_GB2312" w:eastAsia="仿宋_GB2312" w:hAnsi="仿宋_GB2312" w:cs="仿宋_GB2312" w:hint="eastAsia"/>
                <w:color w:val="000000"/>
                <w:sz w:val="20"/>
                <w:szCs w:val="20"/>
              </w:rPr>
              <w:lastRenderedPageBreak/>
              <w:t>6.6.1、6.6.2条</w:t>
            </w:r>
          </w:p>
        </w:tc>
        <w:tc>
          <w:tcPr>
            <w:tcW w:w="376" w:type="dxa"/>
            <w:tcBorders>
              <w:tl2br w:val="nil"/>
              <w:tr2bl w:val="nil"/>
            </w:tcBorders>
          </w:tcPr>
          <w:p w14:paraId="4B4D49A0"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2D2D57F8" w14:textId="77777777" w:rsidTr="008351BE">
        <w:trPr>
          <w:trHeight w:val="347"/>
          <w:jc w:val="center"/>
        </w:trPr>
        <w:tc>
          <w:tcPr>
            <w:tcW w:w="971" w:type="dxa"/>
            <w:tcBorders>
              <w:tl2br w:val="nil"/>
              <w:tr2bl w:val="nil"/>
            </w:tcBorders>
            <w:vAlign w:val="center"/>
          </w:tcPr>
          <w:p w14:paraId="131EDCED"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15.2.12.069</w:t>
            </w:r>
          </w:p>
        </w:tc>
        <w:tc>
          <w:tcPr>
            <w:tcW w:w="1064" w:type="dxa"/>
            <w:tcBorders>
              <w:tl2br w:val="nil"/>
              <w:tr2bl w:val="nil"/>
            </w:tcBorders>
            <w:vAlign w:val="center"/>
          </w:tcPr>
          <w:p w14:paraId="220E1F14"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12CB17D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危险化学品类</w:t>
            </w:r>
          </w:p>
        </w:tc>
        <w:tc>
          <w:tcPr>
            <w:tcW w:w="2861" w:type="dxa"/>
            <w:tcBorders>
              <w:tl2br w:val="nil"/>
              <w:tr2bl w:val="nil"/>
            </w:tcBorders>
            <w:vAlign w:val="center"/>
          </w:tcPr>
          <w:p w14:paraId="145E30D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每个储存柜的危险化学品存放总量超过50L或50kg。</w:t>
            </w:r>
          </w:p>
        </w:tc>
        <w:tc>
          <w:tcPr>
            <w:tcW w:w="3889" w:type="dxa"/>
            <w:tcBorders>
              <w:tl2br w:val="nil"/>
              <w:tr2bl w:val="nil"/>
            </w:tcBorders>
            <w:vAlign w:val="center"/>
          </w:tcPr>
          <w:p w14:paraId="7C84F94D" w14:textId="31084D4F"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每个储存柜的危险化学品存放总量不应超过50L或50kg。</w:t>
            </w:r>
          </w:p>
        </w:tc>
        <w:tc>
          <w:tcPr>
            <w:tcW w:w="3868" w:type="dxa"/>
            <w:tcBorders>
              <w:tl2br w:val="nil"/>
              <w:tr2bl w:val="nil"/>
            </w:tcBorders>
            <w:vAlign w:val="center"/>
          </w:tcPr>
          <w:p w14:paraId="145D049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1191.1-2025）第7.3.4条；</w:t>
            </w:r>
          </w:p>
          <w:p w14:paraId="4F8529C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 xml:space="preserve">《实验室危险化学品安全管理要求 第3部分：科研单位》（DB11/T 1191.3-2024）第7.2.1条b） </w:t>
            </w:r>
          </w:p>
        </w:tc>
        <w:tc>
          <w:tcPr>
            <w:tcW w:w="376" w:type="dxa"/>
            <w:tcBorders>
              <w:tl2br w:val="nil"/>
              <w:tr2bl w:val="nil"/>
            </w:tcBorders>
          </w:tcPr>
          <w:p w14:paraId="42A0C834"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24511B98" w14:textId="77777777" w:rsidTr="008351BE">
        <w:trPr>
          <w:trHeight w:val="347"/>
          <w:jc w:val="center"/>
        </w:trPr>
        <w:tc>
          <w:tcPr>
            <w:tcW w:w="971" w:type="dxa"/>
            <w:tcBorders>
              <w:tl2br w:val="nil"/>
              <w:tr2bl w:val="nil"/>
            </w:tcBorders>
            <w:vAlign w:val="center"/>
          </w:tcPr>
          <w:p w14:paraId="3F94A035"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15.2.12.070</w:t>
            </w:r>
          </w:p>
        </w:tc>
        <w:tc>
          <w:tcPr>
            <w:tcW w:w="1064" w:type="dxa"/>
            <w:tcBorders>
              <w:tl2br w:val="nil"/>
              <w:tr2bl w:val="nil"/>
            </w:tcBorders>
            <w:vAlign w:val="center"/>
          </w:tcPr>
          <w:p w14:paraId="43D2E64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0CD9D1A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危险化学品类</w:t>
            </w:r>
          </w:p>
        </w:tc>
        <w:tc>
          <w:tcPr>
            <w:tcW w:w="2861" w:type="dxa"/>
            <w:tcBorders>
              <w:tl2br w:val="nil"/>
              <w:tr2bl w:val="nil"/>
            </w:tcBorders>
            <w:vAlign w:val="center"/>
          </w:tcPr>
          <w:p w14:paraId="1B4D61B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需低温存放的易燃易爆危险化学品未存放在具有防爆功能的冰箱内。</w:t>
            </w:r>
          </w:p>
        </w:tc>
        <w:tc>
          <w:tcPr>
            <w:tcW w:w="3889" w:type="dxa"/>
            <w:tcBorders>
              <w:tl2br w:val="nil"/>
              <w:tr2bl w:val="nil"/>
            </w:tcBorders>
            <w:vAlign w:val="center"/>
          </w:tcPr>
          <w:p w14:paraId="02AA861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需低温存放的易燃易爆危险化学品应存放在具有防爆功能的冰箱内。</w:t>
            </w:r>
          </w:p>
        </w:tc>
        <w:tc>
          <w:tcPr>
            <w:tcW w:w="3868" w:type="dxa"/>
            <w:tcBorders>
              <w:tl2br w:val="nil"/>
              <w:tr2bl w:val="nil"/>
            </w:tcBorders>
            <w:vAlign w:val="center"/>
          </w:tcPr>
          <w:p w14:paraId="62E70DA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1191.1-2025）第7.4.5条；</w:t>
            </w:r>
          </w:p>
          <w:p w14:paraId="5504803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1191.3-2024）第7.2.3条</w:t>
            </w:r>
          </w:p>
        </w:tc>
        <w:tc>
          <w:tcPr>
            <w:tcW w:w="376" w:type="dxa"/>
            <w:tcBorders>
              <w:tl2br w:val="nil"/>
              <w:tr2bl w:val="nil"/>
            </w:tcBorders>
          </w:tcPr>
          <w:p w14:paraId="28B78AB5"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4BA30DE5" w14:textId="77777777" w:rsidTr="008351BE">
        <w:trPr>
          <w:trHeight w:val="347"/>
          <w:jc w:val="center"/>
        </w:trPr>
        <w:tc>
          <w:tcPr>
            <w:tcW w:w="971" w:type="dxa"/>
            <w:tcBorders>
              <w:tl2br w:val="nil"/>
              <w:tr2bl w:val="nil"/>
            </w:tcBorders>
            <w:vAlign w:val="center"/>
          </w:tcPr>
          <w:p w14:paraId="569C67E4"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15.2.12.071</w:t>
            </w:r>
          </w:p>
        </w:tc>
        <w:tc>
          <w:tcPr>
            <w:tcW w:w="1064" w:type="dxa"/>
            <w:tcBorders>
              <w:tl2br w:val="nil"/>
              <w:tr2bl w:val="nil"/>
            </w:tcBorders>
            <w:vAlign w:val="center"/>
          </w:tcPr>
          <w:p w14:paraId="494A6F38"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47998592"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危险化学品类</w:t>
            </w:r>
          </w:p>
        </w:tc>
        <w:tc>
          <w:tcPr>
            <w:tcW w:w="2861" w:type="dxa"/>
            <w:tcBorders>
              <w:tl2br w:val="nil"/>
              <w:tr2bl w:val="nil"/>
            </w:tcBorders>
            <w:vAlign w:val="center"/>
          </w:tcPr>
          <w:p w14:paraId="67A5FDC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腐蚀性化学品未单独存放在具有防腐蚀功能的储存柜内，并未设置防遗撒托盘。</w:t>
            </w:r>
          </w:p>
        </w:tc>
        <w:tc>
          <w:tcPr>
            <w:tcW w:w="3889" w:type="dxa"/>
            <w:tcBorders>
              <w:tl2br w:val="nil"/>
              <w:tr2bl w:val="nil"/>
            </w:tcBorders>
            <w:vAlign w:val="center"/>
          </w:tcPr>
          <w:p w14:paraId="660620B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腐蚀性化学品应单独存放在具有防腐蚀功能的储存柜内，并有防遗撒托盘。</w:t>
            </w:r>
          </w:p>
        </w:tc>
        <w:tc>
          <w:tcPr>
            <w:tcW w:w="3868" w:type="dxa"/>
            <w:tcBorders>
              <w:tl2br w:val="nil"/>
              <w:tr2bl w:val="nil"/>
            </w:tcBorders>
            <w:vAlign w:val="center"/>
          </w:tcPr>
          <w:p w14:paraId="14223A1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 xml:space="preserve">《实验室危险化学品安全管理要求 第1部分：工业企业》（DB11/T 1191.1-2025）第7.4.6条; </w:t>
            </w:r>
          </w:p>
          <w:p w14:paraId="001B58E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1191.3-2024）第7.2.3条b）</w:t>
            </w:r>
          </w:p>
        </w:tc>
        <w:tc>
          <w:tcPr>
            <w:tcW w:w="376" w:type="dxa"/>
            <w:tcBorders>
              <w:tl2br w:val="nil"/>
              <w:tr2bl w:val="nil"/>
            </w:tcBorders>
          </w:tcPr>
          <w:p w14:paraId="342D5F05"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07E820F9" w14:textId="77777777" w:rsidTr="008351BE">
        <w:trPr>
          <w:trHeight w:val="347"/>
          <w:jc w:val="center"/>
        </w:trPr>
        <w:tc>
          <w:tcPr>
            <w:tcW w:w="971" w:type="dxa"/>
            <w:tcBorders>
              <w:tl2br w:val="nil"/>
              <w:tr2bl w:val="nil"/>
            </w:tcBorders>
            <w:vAlign w:val="center"/>
          </w:tcPr>
          <w:p w14:paraId="4958F29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15.2.12.072</w:t>
            </w:r>
          </w:p>
        </w:tc>
        <w:tc>
          <w:tcPr>
            <w:tcW w:w="1064" w:type="dxa"/>
            <w:tcBorders>
              <w:tl2br w:val="nil"/>
              <w:tr2bl w:val="nil"/>
            </w:tcBorders>
            <w:vAlign w:val="center"/>
          </w:tcPr>
          <w:p w14:paraId="745E7F7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684DBDF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危险化学品类</w:t>
            </w:r>
          </w:p>
        </w:tc>
        <w:tc>
          <w:tcPr>
            <w:tcW w:w="2861" w:type="dxa"/>
            <w:tcBorders>
              <w:tl2br w:val="nil"/>
              <w:tr2bl w:val="nil"/>
            </w:tcBorders>
            <w:vAlign w:val="center"/>
          </w:tcPr>
          <w:p w14:paraId="097CB72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爆炸性化学品、易制毒化学品和易</w:t>
            </w:r>
            <w:proofErr w:type="gramStart"/>
            <w:r w:rsidRPr="00EF4836">
              <w:rPr>
                <w:rFonts w:ascii="仿宋_GB2312" w:eastAsia="仿宋_GB2312" w:hAnsi="仿宋_GB2312" w:cs="仿宋_GB2312" w:hint="eastAsia"/>
                <w:color w:val="000000"/>
                <w:sz w:val="20"/>
                <w:szCs w:val="20"/>
              </w:rPr>
              <w:t>制爆危险</w:t>
            </w:r>
            <w:proofErr w:type="gramEnd"/>
            <w:r w:rsidRPr="00EF4836">
              <w:rPr>
                <w:rFonts w:ascii="仿宋_GB2312" w:eastAsia="仿宋_GB2312" w:hAnsi="仿宋_GB2312" w:cs="仿宋_GB2312" w:hint="eastAsia"/>
                <w:color w:val="000000"/>
                <w:sz w:val="20"/>
                <w:szCs w:val="20"/>
              </w:rPr>
              <w:t>化学品未与其他危险化学品分开存放。</w:t>
            </w:r>
          </w:p>
        </w:tc>
        <w:tc>
          <w:tcPr>
            <w:tcW w:w="3889" w:type="dxa"/>
            <w:tcBorders>
              <w:tl2br w:val="nil"/>
              <w:tr2bl w:val="nil"/>
            </w:tcBorders>
            <w:vAlign w:val="center"/>
          </w:tcPr>
          <w:p w14:paraId="108BC6B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爆炸性化学品、易制毒化学品和易</w:t>
            </w:r>
            <w:proofErr w:type="gramStart"/>
            <w:r w:rsidRPr="00EF4836">
              <w:rPr>
                <w:rFonts w:ascii="仿宋_GB2312" w:eastAsia="仿宋_GB2312" w:hAnsi="仿宋_GB2312" w:cs="仿宋_GB2312" w:hint="eastAsia"/>
                <w:color w:val="000000"/>
                <w:sz w:val="20"/>
                <w:szCs w:val="20"/>
              </w:rPr>
              <w:t>制爆危险</w:t>
            </w:r>
            <w:proofErr w:type="gramEnd"/>
            <w:r w:rsidRPr="00EF4836">
              <w:rPr>
                <w:rFonts w:ascii="仿宋_GB2312" w:eastAsia="仿宋_GB2312" w:hAnsi="仿宋_GB2312" w:cs="仿宋_GB2312" w:hint="eastAsia"/>
                <w:color w:val="000000"/>
                <w:sz w:val="20"/>
                <w:szCs w:val="20"/>
              </w:rPr>
              <w:t>化学品应与其他危险化学品分开存放。</w:t>
            </w:r>
          </w:p>
          <w:p w14:paraId="5D520E26" w14:textId="268A8DBE" w:rsidR="00EF4836" w:rsidRPr="00EF4836" w:rsidRDefault="00EF4836" w:rsidP="008351BE">
            <w:pPr>
              <w:pStyle w:val="a5"/>
              <w:adjustRightInd w:val="0"/>
              <w:snapToGrid w:val="0"/>
              <w:ind w:firstLine="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未按标准规范要求分区分类储存危险化学品</w:t>
            </w:r>
            <w:r w:rsidR="00526DF8">
              <w:rPr>
                <w:rFonts w:ascii="仿宋_GB2312" w:eastAsia="仿宋_GB2312" w:hAnsi="仿宋_GB2312" w:cs="仿宋_GB2312" w:hint="eastAsia"/>
                <w:color w:val="000000"/>
                <w:sz w:val="20"/>
                <w:szCs w:val="20"/>
              </w:rPr>
              <w:t>。</w:t>
            </w:r>
          </w:p>
        </w:tc>
        <w:tc>
          <w:tcPr>
            <w:tcW w:w="3868" w:type="dxa"/>
            <w:tcBorders>
              <w:tl2br w:val="nil"/>
              <w:tr2bl w:val="nil"/>
            </w:tcBorders>
            <w:vAlign w:val="center"/>
          </w:tcPr>
          <w:p w14:paraId="2FF5BB3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《危险化学品安全管理条例》第二十四条第二款</w:t>
            </w:r>
          </w:p>
          <w:p w14:paraId="011B3C8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《化工和危险化学品企业重大生产安全事故隐患判定准则（征求意见稿）》第5.5.8条</w:t>
            </w:r>
          </w:p>
        </w:tc>
        <w:tc>
          <w:tcPr>
            <w:tcW w:w="376" w:type="dxa"/>
            <w:tcBorders>
              <w:tl2br w:val="nil"/>
              <w:tr2bl w:val="nil"/>
            </w:tcBorders>
          </w:tcPr>
          <w:p w14:paraId="0CED5525"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r w:rsidRPr="00EF4836">
              <w:rPr>
                <w:rFonts w:ascii="仿宋_GB2312" w:eastAsia="仿宋_GB2312" w:hAnsi="仿宋_GB2312" w:cs="仿宋_GB2312" w:hint="eastAsia"/>
                <w:b/>
                <w:color w:val="000000"/>
                <w:kern w:val="0"/>
                <w:sz w:val="20"/>
                <w:szCs w:val="20"/>
              </w:rPr>
              <w:t>★1</w:t>
            </w:r>
          </w:p>
        </w:tc>
      </w:tr>
      <w:tr w:rsidR="00EF4836" w:rsidRPr="00EF4836" w14:paraId="4A1A8B47" w14:textId="77777777" w:rsidTr="008351BE">
        <w:trPr>
          <w:trHeight w:val="347"/>
          <w:jc w:val="center"/>
        </w:trPr>
        <w:tc>
          <w:tcPr>
            <w:tcW w:w="971" w:type="dxa"/>
            <w:tcBorders>
              <w:tl2br w:val="nil"/>
              <w:tr2bl w:val="nil"/>
            </w:tcBorders>
            <w:vAlign w:val="center"/>
          </w:tcPr>
          <w:p w14:paraId="6F4595B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15.2.12.073</w:t>
            </w:r>
          </w:p>
        </w:tc>
        <w:tc>
          <w:tcPr>
            <w:tcW w:w="1064" w:type="dxa"/>
            <w:tcBorders>
              <w:tl2br w:val="nil"/>
              <w:tr2bl w:val="nil"/>
            </w:tcBorders>
            <w:vAlign w:val="center"/>
          </w:tcPr>
          <w:p w14:paraId="5B8E220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76BB545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危险化学品类</w:t>
            </w:r>
          </w:p>
        </w:tc>
        <w:tc>
          <w:tcPr>
            <w:tcW w:w="2861" w:type="dxa"/>
            <w:tcBorders>
              <w:tl2br w:val="nil"/>
              <w:tr2bl w:val="nil"/>
            </w:tcBorders>
            <w:vAlign w:val="center"/>
          </w:tcPr>
          <w:p w14:paraId="0BA018A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爆炸品、剧毒化学品未单独存放在双锁的专用储存柜中，未实行“五双”制度管理。</w:t>
            </w:r>
          </w:p>
        </w:tc>
        <w:tc>
          <w:tcPr>
            <w:tcW w:w="3889" w:type="dxa"/>
            <w:tcBorders>
              <w:tl2br w:val="nil"/>
              <w:tr2bl w:val="nil"/>
            </w:tcBorders>
            <w:vAlign w:val="center"/>
          </w:tcPr>
          <w:p w14:paraId="17DE803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爆炸品、剧毒化学品应单独存放在双锁的专用储存柜中，实行“五双”（双人验收、双人保管、双人发货、</w:t>
            </w:r>
            <w:proofErr w:type="gramStart"/>
            <w:r w:rsidRPr="00EF4836">
              <w:rPr>
                <w:rFonts w:ascii="仿宋_GB2312" w:eastAsia="仿宋_GB2312" w:hAnsi="仿宋_GB2312" w:cs="仿宋_GB2312" w:hint="eastAsia"/>
                <w:color w:val="000000"/>
                <w:sz w:val="20"/>
                <w:szCs w:val="20"/>
              </w:rPr>
              <w:t>双把锁</w:t>
            </w:r>
            <w:proofErr w:type="gramEnd"/>
            <w:r w:rsidRPr="00EF4836">
              <w:rPr>
                <w:rFonts w:ascii="仿宋_GB2312" w:eastAsia="仿宋_GB2312" w:hAnsi="仿宋_GB2312" w:cs="仿宋_GB2312" w:hint="eastAsia"/>
                <w:color w:val="000000"/>
                <w:sz w:val="20"/>
                <w:szCs w:val="20"/>
              </w:rPr>
              <w:t>、双本账）制度管理。</w:t>
            </w:r>
          </w:p>
        </w:tc>
        <w:tc>
          <w:tcPr>
            <w:tcW w:w="3868" w:type="dxa"/>
            <w:tcBorders>
              <w:tl2br w:val="nil"/>
              <w:tr2bl w:val="nil"/>
            </w:tcBorders>
            <w:vAlign w:val="center"/>
          </w:tcPr>
          <w:p w14:paraId="4DEA2EC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1191.1-2025）第8.2.3条；</w:t>
            </w:r>
          </w:p>
          <w:p w14:paraId="2C12405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w:t>
            </w:r>
            <w:r w:rsidRPr="00EF4836">
              <w:rPr>
                <w:rFonts w:ascii="仿宋_GB2312" w:eastAsia="仿宋_GB2312" w:hAnsi="仿宋_GB2312" w:cs="仿宋_GB2312" w:hint="eastAsia"/>
                <w:color w:val="000000"/>
                <w:sz w:val="20"/>
                <w:szCs w:val="20"/>
              </w:rPr>
              <w:lastRenderedPageBreak/>
              <w:t>分：普通高等学校》（DB11/T 1191.2-2025）第6.1.6条</w:t>
            </w:r>
          </w:p>
        </w:tc>
        <w:tc>
          <w:tcPr>
            <w:tcW w:w="376" w:type="dxa"/>
            <w:tcBorders>
              <w:tl2br w:val="nil"/>
              <w:tr2bl w:val="nil"/>
            </w:tcBorders>
          </w:tcPr>
          <w:p w14:paraId="533C4471"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207B9F39" w14:textId="77777777" w:rsidTr="008351BE">
        <w:trPr>
          <w:trHeight w:val="347"/>
          <w:jc w:val="center"/>
        </w:trPr>
        <w:tc>
          <w:tcPr>
            <w:tcW w:w="971" w:type="dxa"/>
            <w:tcBorders>
              <w:tl2br w:val="nil"/>
              <w:tr2bl w:val="nil"/>
            </w:tcBorders>
            <w:vAlign w:val="center"/>
          </w:tcPr>
          <w:p w14:paraId="775DEFA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15.2.11.074</w:t>
            </w:r>
          </w:p>
        </w:tc>
        <w:tc>
          <w:tcPr>
            <w:tcW w:w="1064" w:type="dxa"/>
            <w:tcBorders>
              <w:tl2br w:val="nil"/>
              <w:tr2bl w:val="nil"/>
            </w:tcBorders>
            <w:vAlign w:val="center"/>
          </w:tcPr>
          <w:p w14:paraId="69C05AE5"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136BF310"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其他设备设施类</w:t>
            </w:r>
          </w:p>
        </w:tc>
        <w:tc>
          <w:tcPr>
            <w:tcW w:w="2861" w:type="dxa"/>
            <w:tcBorders>
              <w:tl2br w:val="nil"/>
              <w:tr2bl w:val="nil"/>
            </w:tcBorders>
            <w:vAlign w:val="center"/>
          </w:tcPr>
          <w:p w14:paraId="2F58678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存放易燃易爆危险化学品的</w:t>
            </w:r>
            <w:proofErr w:type="gramStart"/>
            <w:r w:rsidRPr="00EF4836">
              <w:rPr>
                <w:rFonts w:ascii="仿宋_GB2312" w:eastAsia="仿宋_GB2312" w:hAnsi="仿宋_GB2312" w:cs="仿宋_GB2312" w:hint="eastAsia"/>
                <w:color w:val="000000"/>
                <w:sz w:val="20"/>
                <w:szCs w:val="20"/>
              </w:rPr>
              <w:t>储存柜未设置</w:t>
            </w:r>
            <w:proofErr w:type="gramEnd"/>
            <w:r w:rsidRPr="00EF4836">
              <w:rPr>
                <w:rFonts w:ascii="仿宋_GB2312" w:eastAsia="仿宋_GB2312" w:hAnsi="仿宋_GB2312" w:cs="仿宋_GB2312" w:hint="eastAsia"/>
                <w:color w:val="000000"/>
                <w:sz w:val="20"/>
                <w:szCs w:val="20"/>
              </w:rPr>
              <w:t>导出静电的接地装置，未可靠接地。</w:t>
            </w:r>
          </w:p>
        </w:tc>
        <w:tc>
          <w:tcPr>
            <w:tcW w:w="3889" w:type="dxa"/>
            <w:tcBorders>
              <w:tl2br w:val="nil"/>
              <w:tr2bl w:val="nil"/>
            </w:tcBorders>
            <w:vAlign w:val="center"/>
          </w:tcPr>
          <w:p w14:paraId="6D899C0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存放易燃易爆危险化学品的储存柜应有导出静电的接地装置并可靠接地。</w:t>
            </w:r>
          </w:p>
        </w:tc>
        <w:tc>
          <w:tcPr>
            <w:tcW w:w="3868" w:type="dxa"/>
            <w:tcBorders>
              <w:tl2br w:val="nil"/>
              <w:tr2bl w:val="nil"/>
            </w:tcBorders>
            <w:vAlign w:val="center"/>
          </w:tcPr>
          <w:p w14:paraId="5332E85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1191.1-2025）第6.8条;</w:t>
            </w:r>
          </w:p>
          <w:p w14:paraId="630950D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1191.3-2024）第6.6.1条</w:t>
            </w:r>
          </w:p>
        </w:tc>
        <w:tc>
          <w:tcPr>
            <w:tcW w:w="376" w:type="dxa"/>
            <w:tcBorders>
              <w:tl2br w:val="nil"/>
              <w:tr2bl w:val="nil"/>
            </w:tcBorders>
          </w:tcPr>
          <w:p w14:paraId="77700BA5"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7E1E5752" w14:textId="77777777" w:rsidTr="008351BE">
        <w:trPr>
          <w:trHeight w:val="347"/>
          <w:jc w:val="center"/>
        </w:trPr>
        <w:tc>
          <w:tcPr>
            <w:tcW w:w="971" w:type="dxa"/>
            <w:tcBorders>
              <w:tl2br w:val="nil"/>
              <w:tr2bl w:val="nil"/>
            </w:tcBorders>
            <w:vAlign w:val="center"/>
          </w:tcPr>
          <w:p w14:paraId="4197FEE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15.2.12.075</w:t>
            </w:r>
          </w:p>
        </w:tc>
        <w:tc>
          <w:tcPr>
            <w:tcW w:w="1064" w:type="dxa"/>
            <w:tcBorders>
              <w:tl2br w:val="nil"/>
              <w:tr2bl w:val="nil"/>
            </w:tcBorders>
            <w:vAlign w:val="center"/>
          </w:tcPr>
          <w:p w14:paraId="7F1BFD9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6FDDC50E"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危险化学品类</w:t>
            </w:r>
          </w:p>
        </w:tc>
        <w:tc>
          <w:tcPr>
            <w:tcW w:w="2861" w:type="dxa"/>
            <w:tcBorders>
              <w:tl2br w:val="nil"/>
              <w:tr2bl w:val="nil"/>
            </w:tcBorders>
            <w:vAlign w:val="center"/>
          </w:tcPr>
          <w:p w14:paraId="29DD938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储存液体类危险化学品未设置</w:t>
            </w:r>
            <w:proofErr w:type="gramStart"/>
            <w:r w:rsidRPr="00EF4836">
              <w:rPr>
                <w:rFonts w:ascii="仿宋_GB2312" w:eastAsia="仿宋_GB2312" w:hAnsi="仿宋_GB2312" w:cs="仿宋_GB2312" w:hint="eastAsia"/>
                <w:color w:val="000000"/>
                <w:sz w:val="20"/>
                <w:szCs w:val="20"/>
              </w:rPr>
              <w:t>防遗洒措施</w:t>
            </w:r>
            <w:proofErr w:type="gramEnd"/>
            <w:r w:rsidRPr="00EF4836">
              <w:rPr>
                <w:rFonts w:ascii="仿宋_GB2312" w:eastAsia="仿宋_GB2312" w:hAnsi="仿宋_GB2312" w:cs="仿宋_GB2312" w:hint="eastAsia"/>
                <w:color w:val="000000"/>
                <w:sz w:val="20"/>
                <w:szCs w:val="20"/>
              </w:rPr>
              <w:t>；托盘存放时，托盘的容量过小。</w:t>
            </w:r>
          </w:p>
        </w:tc>
        <w:tc>
          <w:tcPr>
            <w:tcW w:w="3889" w:type="dxa"/>
            <w:tcBorders>
              <w:tl2br w:val="nil"/>
              <w:tr2bl w:val="nil"/>
            </w:tcBorders>
            <w:vAlign w:val="center"/>
          </w:tcPr>
          <w:p w14:paraId="3470D1F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储存液体类危险化学品应有</w:t>
            </w:r>
            <w:proofErr w:type="gramStart"/>
            <w:r w:rsidRPr="00EF4836">
              <w:rPr>
                <w:rFonts w:ascii="仿宋_GB2312" w:eastAsia="仿宋_GB2312" w:hAnsi="仿宋_GB2312" w:cs="仿宋_GB2312" w:hint="eastAsia"/>
                <w:color w:val="000000"/>
                <w:sz w:val="20"/>
                <w:szCs w:val="20"/>
              </w:rPr>
              <w:t>防遗洒措施</w:t>
            </w:r>
            <w:proofErr w:type="gramEnd"/>
            <w:r w:rsidRPr="00EF4836">
              <w:rPr>
                <w:rFonts w:ascii="仿宋_GB2312" w:eastAsia="仿宋_GB2312" w:hAnsi="仿宋_GB2312" w:cs="仿宋_GB2312" w:hint="eastAsia"/>
                <w:color w:val="000000"/>
                <w:sz w:val="20"/>
                <w:szCs w:val="20"/>
              </w:rPr>
              <w:t>；托盘存放时，托盘的容量不宜小于托盘中最大容器容积的150%和所有容器容积总和的10%中的最大者。或托盘的剩余容量不应小于本托盘中最大容器的容量。</w:t>
            </w:r>
          </w:p>
        </w:tc>
        <w:tc>
          <w:tcPr>
            <w:tcW w:w="3868" w:type="dxa"/>
            <w:tcBorders>
              <w:tl2br w:val="nil"/>
              <w:tr2bl w:val="nil"/>
            </w:tcBorders>
            <w:vAlign w:val="center"/>
          </w:tcPr>
          <w:p w14:paraId="6733041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1191.1-2025）第7.1.10条；</w:t>
            </w:r>
          </w:p>
          <w:p w14:paraId="2B308B4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1191.3-2024）第7.2.3条d）</w:t>
            </w:r>
          </w:p>
        </w:tc>
        <w:tc>
          <w:tcPr>
            <w:tcW w:w="376" w:type="dxa"/>
            <w:tcBorders>
              <w:tl2br w:val="nil"/>
              <w:tr2bl w:val="nil"/>
            </w:tcBorders>
          </w:tcPr>
          <w:p w14:paraId="005CAB25"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4BC8765C" w14:textId="77777777" w:rsidTr="008351BE">
        <w:trPr>
          <w:trHeight w:val="347"/>
          <w:jc w:val="center"/>
        </w:trPr>
        <w:tc>
          <w:tcPr>
            <w:tcW w:w="971" w:type="dxa"/>
            <w:tcBorders>
              <w:tl2br w:val="nil"/>
              <w:tr2bl w:val="nil"/>
            </w:tcBorders>
            <w:vAlign w:val="center"/>
          </w:tcPr>
          <w:p w14:paraId="6D08DD6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15.4.03.076</w:t>
            </w:r>
          </w:p>
        </w:tc>
        <w:tc>
          <w:tcPr>
            <w:tcW w:w="1064" w:type="dxa"/>
            <w:tcBorders>
              <w:tl2br w:val="nil"/>
              <w:tr2bl w:val="nil"/>
            </w:tcBorders>
            <w:vAlign w:val="center"/>
          </w:tcPr>
          <w:p w14:paraId="0823716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52C1FE97"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标志及标识类</w:t>
            </w:r>
          </w:p>
        </w:tc>
        <w:tc>
          <w:tcPr>
            <w:tcW w:w="2861" w:type="dxa"/>
            <w:tcBorders>
              <w:tl2br w:val="nil"/>
              <w:tr2bl w:val="nil"/>
            </w:tcBorders>
            <w:vAlign w:val="center"/>
          </w:tcPr>
          <w:p w14:paraId="7750CAF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在储存</w:t>
            </w:r>
            <w:proofErr w:type="gramStart"/>
            <w:r w:rsidRPr="00EF4836">
              <w:rPr>
                <w:rFonts w:ascii="仿宋_GB2312" w:eastAsia="仿宋_GB2312" w:hAnsi="仿宋_GB2312" w:cs="仿宋_GB2312" w:hint="eastAsia"/>
                <w:color w:val="000000"/>
                <w:sz w:val="20"/>
                <w:szCs w:val="20"/>
              </w:rPr>
              <w:t>柜上未</w:t>
            </w:r>
            <w:proofErr w:type="gramEnd"/>
            <w:r w:rsidRPr="00EF4836">
              <w:rPr>
                <w:rFonts w:ascii="仿宋_GB2312" w:eastAsia="仿宋_GB2312" w:hAnsi="仿宋_GB2312" w:cs="仿宋_GB2312" w:hint="eastAsia"/>
                <w:color w:val="000000"/>
                <w:sz w:val="20"/>
                <w:szCs w:val="20"/>
              </w:rPr>
              <w:t>张贴安全警示标志和危险化学品清单。</w:t>
            </w:r>
          </w:p>
        </w:tc>
        <w:tc>
          <w:tcPr>
            <w:tcW w:w="3889" w:type="dxa"/>
            <w:tcBorders>
              <w:tl2br w:val="nil"/>
              <w:tr2bl w:val="nil"/>
            </w:tcBorders>
            <w:vAlign w:val="center"/>
          </w:tcPr>
          <w:p w14:paraId="71870C9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应根据所储存的危险化学品的危险特性，在储存柜上张贴安全警示标志和危险化学品清单。</w:t>
            </w:r>
          </w:p>
        </w:tc>
        <w:tc>
          <w:tcPr>
            <w:tcW w:w="3868" w:type="dxa"/>
            <w:tcBorders>
              <w:tl2br w:val="nil"/>
              <w:tr2bl w:val="nil"/>
            </w:tcBorders>
            <w:vAlign w:val="center"/>
          </w:tcPr>
          <w:p w14:paraId="64FBEDB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1191.1-2025）第4.4.3条；</w:t>
            </w:r>
          </w:p>
          <w:p w14:paraId="2FDBDAC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1191.2-2025）第4.5.4条；</w:t>
            </w:r>
          </w:p>
          <w:p w14:paraId="2065C95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1191.3-2024）第4.3.2条</w:t>
            </w:r>
          </w:p>
        </w:tc>
        <w:tc>
          <w:tcPr>
            <w:tcW w:w="376" w:type="dxa"/>
            <w:tcBorders>
              <w:tl2br w:val="nil"/>
              <w:tr2bl w:val="nil"/>
            </w:tcBorders>
          </w:tcPr>
          <w:p w14:paraId="7BE99A11"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4849E26E" w14:textId="77777777" w:rsidTr="008351BE">
        <w:trPr>
          <w:trHeight w:val="347"/>
          <w:jc w:val="center"/>
        </w:trPr>
        <w:tc>
          <w:tcPr>
            <w:tcW w:w="971" w:type="dxa"/>
            <w:tcBorders>
              <w:tl2br w:val="nil"/>
              <w:tr2bl w:val="nil"/>
            </w:tcBorders>
            <w:vAlign w:val="center"/>
          </w:tcPr>
          <w:p w14:paraId="64718EB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15.3.02.077</w:t>
            </w:r>
          </w:p>
        </w:tc>
        <w:tc>
          <w:tcPr>
            <w:tcW w:w="1064" w:type="dxa"/>
            <w:tcBorders>
              <w:tl2br w:val="nil"/>
              <w:tr2bl w:val="nil"/>
            </w:tcBorders>
            <w:vAlign w:val="center"/>
          </w:tcPr>
          <w:p w14:paraId="737E21B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人员类</w:t>
            </w:r>
          </w:p>
        </w:tc>
        <w:tc>
          <w:tcPr>
            <w:tcW w:w="1089" w:type="dxa"/>
            <w:tcBorders>
              <w:tl2br w:val="nil"/>
              <w:tr2bl w:val="nil"/>
            </w:tcBorders>
            <w:vAlign w:val="center"/>
          </w:tcPr>
          <w:p w14:paraId="48E0F5C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操作行为类</w:t>
            </w:r>
          </w:p>
        </w:tc>
        <w:tc>
          <w:tcPr>
            <w:tcW w:w="2861" w:type="dxa"/>
            <w:tcBorders>
              <w:tl2br w:val="nil"/>
              <w:tr2bl w:val="nil"/>
            </w:tcBorders>
            <w:vAlign w:val="center"/>
          </w:tcPr>
          <w:p w14:paraId="79427E7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单独的危险化学品试剂瓶未放入专用储存柜中，随意存放。</w:t>
            </w:r>
          </w:p>
        </w:tc>
        <w:tc>
          <w:tcPr>
            <w:tcW w:w="3889" w:type="dxa"/>
            <w:tcBorders>
              <w:tl2br w:val="nil"/>
              <w:tr2bl w:val="nil"/>
            </w:tcBorders>
            <w:vAlign w:val="center"/>
          </w:tcPr>
          <w:p w14:paraId="06FB19B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单独的危险化学品试剂瓶应放入专用储存柜中，禁止随意存放。</w:t>
            </w:r>
          </w:p>
        </w:tc>
        <w:tc>
          <w:tcPr>
            <w:tcW w:w="3868" w:type="dxa"/>
            <w:tcBorders>
              <w:tl2br w:val="nil"/>
              <w:tr2bl w:val="nil"/>
            </w:tcBorders>
            <w:vAlign w:val="center"/>
          </w:tcPr>
          <w:p w14:paraId="6A15491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1191.1-2025）第7.4.1条</w:t>
            </w:r>
          </w:p>
        </w:tc>
        <w:tc>
          <w:tcPr>
            <w:tcW w:w="376" w:type="dxa"/>
            <w:tcBorders>
              <w:tl2br w:val="nil"/>
              <w:tr2bl w:val="nil"/>
            </w:tcBorders>
          </w:tcPr>
          <w:p w14:paraId="4DA183CB"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7D1112FD" w14:textId="77777777" w:rsidTr="008351BE">
        <w:trPr>
          <w:trHeight w:val="347"/>
          <w:jc w:val="center"/>
        </w:trPr>
        <w:tc>
          <w:tcPr>
            <w:tcW w:w="971" w:type="dxa"/>
            <w:tcBorders>
              <w:tl2br w:val="nil"/>
              <w:tr2bl w:val="nil"/>
            </w:tcBorders>
            <w:vAlign w:val="center"/>
          </w:tcPr>
          <w:p w14:paraId="55806E13"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15.4.04.078</w:t>
            </w:r>
          </w:p>
        </w:tc>
        <w:tc>
          <w:tcPr>
            <w:tcW w:w="1064" w:type="dxa"/>
            <w:tcBorders>
              <w:tl2br w:val="nil"/>
              <w:tr2bl w:val="nil"/>
            </w:tcBorders>
            <w:vAlign w:val="center"/>
          </w:tcPr>
          <w:p w14:paraId="3B0BC01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4CD62A58"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作业环境类</w:t>
            </w:r>
          </w:p>
        </w:tc>
        <w:tc>
          <w:tcPr>
            <w:tcW w:w="2861" w:type="dxa"/>
            <w:tcBorders>
              <w:tl2br w:val="nil"/>
              <w:tr2bl w:val="nil"/>
            </w:tcBorders>
          </w:tcPr>
          <w:p w14:paraId="4F235DF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科研单位在下列实验室内设置危险化学品储存柜： a) 涉及</w:t>
            </w:r>
            <w:r w:rsidRPr="00EF4836">
              <w:rPr>
                <w:rFonts w:ascii="仿宋_GB2312" w:eastAsia="仿宋_GB2312" w:hAnsi="仿宋_GB2312" w:cs="仿宋_GB2312" w:hint="eastAsia"/>
                <w:color w:val="000000"/>
                <w:sz w:val="20"/>
                <w:szCs w:val="20"/>
              </w:rPr>
              <w:lastRenderedPageBreak/>
              <w:t>危险化工工艺的实验室； b) 具有火灾、爆炸风险的实验室； c) 可能产生高温的实验室。</w:t>
            </w:r>
          </w:p>
        </w:tc>
        <w:tc>
          <w:tcPr>
            <w:tcW w:w="3889" w:type="dxa"/>
            <w:tcBorders>
              <w:tl2br w:val="nil"/>
              <w:tr2bl w:val="nil"/>
            </w:tcBorders>
            <w:vAlign w:val="center"/>
          </w:tcPr>
          <w:p w14:paraId="1AD7B69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 xml:space="preserve">下列实验室内不宜设置危险化学品储存柜： a) 涉及危险化工工艺的实验室； b) </w:t>
            </w:r>
            <w:r w:rsidRPr="00EF4836">
              <w:rPr>
                <w:rFonts w:ascii="仿宋_GB2312" w:eastAsia="仿宋_GB2312" w:hAnsi="仿宋_GB2312" w:cs="仿宋_GB2312" w:hint="eastAsia"/>
                <w:color w:val="000000"/>
                <w:sz w:val="20"/>
                <w:szCs w:val="20"/>
              </w:rPr>
              <w:lastRenderedPageBreak/>
              <w:t>具有火灾、爆炸风险的实验室； c) 可能产生高温的实验室。</w:t>
            </w:r>
          </w:p>
        </w:tc>
        <w:tc>
          <w:tcPr>
            <w:tcW w:w="3868" w:type="dxa"/>
            <w:tcBorders>
              <w:tl2br w:val="nil"/>
              <w:tr2bl w:val="nil"/>
            </w:tcBorders>
            <w:vAlign w:val="center"/>
          </w:tcPr>
          <w:p w14:paraId="6083FEF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《实验室危险化学品安全管理要求 第3部分：科研单位》（DB11/T 1191.3-2024）第</w:t>
            </w:r>
            <w:r w:rsidRPr="00EF4836">
              <w:rPr>
                <w:rFonts w:ascii="仿宋_GB2312" w:eastAsia="仿宋_GB2312" w:hAnsi="仿宋_GB2312" w:cs="仿宋_GB2312" w:hint="eastAsia"/>
                <w:color w:val="000000"/>
                <w:sz w:val="20"/>
                <w:szCs w:val="20"/>
              </w:rPr>
              <w:lastRenderedPageBreak/>
              <w:t>7.2.5条</w:t>
            </w:r>
          </w:p>
        </w:tc>
        <w:tc>
          <w:tcPr>
            <w:tcW w:w="376" w:type="dxa"/>
            <w:tcBorders>
              <w:tl2br w:val="nil"/>
              <w:tr2bl w:val="nil"/>
            </w:tcBorders>
          </w:tcPr>
          <w:p w14:paraId="42D83FB6"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440644D7" w14:textId="77777777" w:rsidTr="008351BE">
        <w:trPr>
          <w:trHeight w:val="561"/>
          <w:jc w:val="center"/>
        </w:trPr>
        <w:tc>
          <w:tcPr>
            <w:tcW w:w="14118" w:type="dxa"/>
            <w:gridSpan w:val="7"/>
            <w:tcBorders>
              <w:tl2br w:val="nil"/>
              <w:tr2bl w:val="nil"/>
            </w:tcBorders>
            <w:shd w:val="clear" w:color="auto" w:fill="95B3D7"/>
            <w:vAlign w:val="center"/>
          </w:tcPr>
          <w:p w14:paraId="13126701"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r w:rsidRPr="00EF4836">
              <w:rPr>
                <w:rFonts w:ascii="仿宋_GB2312" w:eastAsia="仿宋_GB2312" w:hAnsi="仿宋_GB2312" w:cs="仿宋_GB2312" w:hint="eastAsia"/>
                <w:b/>
                <w:color w:val="000000"/>
                <w:kern w:val="0"/>
                <w:sz w:val="20"/>
                <w:szCs w:val="20"/>
                <w:lang w:bidi="ar"/>
              </w:rPr>
              <w:t>专用储存室</w:t>
            </w:r>
          </w:p>
        </w:tc>
      </w:tr>
      <w:tr w:rsidR="00EF4836" w:rsidRPr="00EF4836" w14:paraId="4B1A80C0" w14:textId="77777777" w:rsidTr="008351BE">
        <w:trPr>
          <w:trHeight w:val="347"/>
          <w:jc w:val="center"/>
        </w:trPr>
        <w:tc>
          <w:tcPr>
            <w:tcW w:w="971" w:type="dxa"/>
            <w:tcBorders>
              <w:tl2br w:val="nil"/>
              <w:tr2bl w:val="nil"/>
            </w:tcBorders>
            <w:vAlign w:val="center"/>
          </w:tcPr>
          <w:p w14:paraId="3F8BBDC7"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15.4.01.079</w:t>
            </w:r>
          </w:p>
        </w:tc>
        <w:tc>
          <w:tcPr>
            <w:tcW w:w="1064" w:type="dxa"/>
            <w:tcBorders>
              <w:tl2br w:val="nil"/>
              <w:tr2bl w:val="nil"/>
            </w:tcBorders>
            <w:vAlign w:val="center"/>
          </w:tcPr>
          <w:p w14:paraId="6EFC54AE"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61498BC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作业环境类</w:t>
            </w:r>
          </w:p>
        </w:tc>
        <w:tc>
          <w:tcPr>
            <w:tcW w:w="2861" w:type="dxa"/>
            <w:tcBorders>
              <w:tl2br w:val="nil"/>
              <w:tr2bl w:val="nil"/>
            </w:tcBorders>
            <w:vAlign w:val="center"/>
          </w:tcPr>
          <w:p w14:paraId="5D85033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未按存放</w:t>
            </w:r>
            <w:proofErr w:type="gramStart"/>
            <w:r w:rsidRPr="00EF4836">
              <w:rPr>
                <w:rFonts w:ascii="仿宋_GB2312" w:eastAsia="仿宋_GB2312" w:hAnsi="仿宋_GB2312" w:cs="仿宋_GB2312" w:hint="eastAsia"/>
                <w:color w:val="000000"/>
                <w:sz w:val="20"/>
                <w:szCs w:val="20"/>
              </w:rPr>
              <w:t>量设置</w:t>
            </w:r>
            <w:proofErr w:type="gramEnd"/>
            <w:r w:rsidRPr="00EF4836">
              <w:rPr>
                <w:rFonts w:ascii="仿宋_GB2312" w:eastAsia="仿宋_GB2312" w:hAnsi="仿宋_GB2312" w:cs="仿宋_GB2312" w:hint="eastAsia"/>
                <w:color w:val="000000"/>
                <w:sz w:val="20"/>
                <w:szCs w:val="20"/>
              </w:rPr>
              <w:t>专用储存室。</w:t>
            </w:r>
          </w:p>
        </w:tc>
        <w:tc>
          <w:tcPr>
            <w:tcW w:w="3889" w:type="dxa"/>
            <w:tcBorders>
              <w:tl2br w:val="nil"/>
              <w:tr2bl w:val="nil"/>
            </w:tcBorders>
            <w:vAlign w:val="center"/>
          </w:tcPr>
          <w:p w14:paraId="52D9940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下列情况应设置专用储存室：</w:t>
            </w:r>
          </w:p>
          <w:p w14:paraId="0011713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a） 易燃液体类危险化学品存放总量不超过 0.5 t或一昼夜使用量；</w:t>
            </w:r>
          </w:p>
          <w:p w14:paraId="38322C0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b） 氧化性物质和有机过氧化物类危险化学品存放总量 不超过0.5 t或一昼夜使用量；</w:t>
            </w:r>
          </w:p>
          <w:p w14:paraId="77D077A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c） 腐蚀类危险化学品存放总量不超过1 t或一昼夜使用量。</w:t>
            </w:r>
          </w:p>
          <w:p w14:paraId="138AA74C" w14:textId="2C6C74C9"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d）</w:t>
            </w:r>
            <w:r w:rsidR="00526DF8">
              <w:rPr>
                <w:rFonts w:ascii="仿宋_GB2312" w:eastAsia="仿宋_GB2312" w:hAnsi="仿宋_GB2312" w:cs="仿宋_GB2312" w:hint="eastAsia"/>
                <w:color w:val="000000"/>
                <w:sz w:val="20"/>
                <w:szCs w:val="20"/>
              </w:rPr>
              <w:t xml:space="preserve"> </w:t>
            </w:r>
            <w:r w:rsidRPr="00EF4836">
              <w:rPr>
                <w:rFonts w:ascii="仿宋_GB2312" w:eastAsia="仿宋_GB2312" w:hAnsi="仿宋_GB2312" w:cs="仿宋_GB2312" w:hint="eastAsia"/>
                <w:color w:val="000000"/>
                <w:sz w:val="20"/>
                <w:szCs w:val="20"/>
              </w:rPr>
              <w:t>在不违反危险化学品储存禁忌规定的情况下，单一储存室内存储的危险化学品为多品种时，按照式（1）计算，a 的值小于 1。</w:t>
            </w:r>
          </w:p>
          <w:p w14:paraId="4940C47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 xml:space="preserve">a = q1/Q1 + q2/Q2 + ...+ </w:t>
            </w:r>
            <w:proofErr w:type="spellStart"/>
            <w:r w:rsidRPr="00EF4836">
              <w:rPr>
                <w:rFonts w:ascii="仿宋_GB2312" w:eastAsia="仿宋_GB2312" w:hAnsi="仿宋_GB2312" w:cs="仿宋_GB2312" w:hint="eastAsia"/>
                <w:color w:val="000000"/>
                <w:sz w:val="20"/>
                <w:szCs w:val="20"/>
              </w:rPr>
              <w:t>qn</w:t>
            </w:r>
            <w:proofErr w:type="spellEnd"/>
            <w:r w:rsidRPr="00EF4836">
              <w:rPr>
                <w:rFonts w:ascii="仿宋_GB2312" w:eastAsia="仿宋_GB2312" w:hAnsi="仿宋_GB2312" w:cs="仿宋_GB2312" w:hint="eastAsia"/>
                <w:color w:val="000000"/>
                <w:sz w:val="20"/>
                <w:szCs w:val="20"/>
              </w:rPr>
              <w:t>/</w:t>
            </w:r>
            <w:proofErr w:type="spellStart"/>
            <w:r w:rsidRPr="00EF4836">
              <w:rPr>
                <w:rFonts w:ascii="仿宋_GB2312" w:eastAsia="仿宋_GB2312" w:hAnsi="仿宋_GB2312" w:cs="仿宋_GB2312" w:hint="eastAsia"/>
                <w:color w:val="000000"/>
                <w:sz w:val="20"/>
                <w:szCs w:val="20"/>
              </w:rPr>
              <w:t>Qn</w:t>
            </w:r>
            <w:proofErr w:type="spellEnd"/>
            <w:r w:rsidRPr="00EF4836">
              <w:rPr>
                <w:rFonts w:ascii="仿宋_GB2312" w:eastAsia="仿宋_GB2312" w:hAnsi="仿宋_GB2312" w:cs="仿宋_GB2312" w:hint="eastAsia"/>
                <w:color w:val="000000"/>
                <w:sz w:val="20"/>
                <w:szCs w:val="20"/>
              </w:rPr>
              <w:t xml:space="preserve"> ...... （1）</w:t>
            </w:r>
          </w:p>
          <w:p w14:paraId="54BE938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式中：q1,q2,…,</w:t>
            </w:r>
            <w:proofErr w:type="spellStart"/>
            <w:r w:rsidRPr="00EF4836">
              <w:rPr>
                <w:rFonts w:ascii="仿宋_GB2312" w:eastAsia="仿宋_GB2312" w:hAnsi="仿宋_GB2312" w:cs="仿宋_GB2312" w:hint="eastAsia"/>
                <w:color w:val="000000"/>
                <w:sz w:val="20"/>
                <w:szCs w:val="20"/>
              </w:rPr>
              <w:t>qn</w:t>
            </w:r>
            <w:proofErr w:type="spellEnd"/>
            <w:r w:rsidRPr="00EF4836">
              <w:rPr>
                <w:rFonts w:ascii="仿宋_GB2312" w:eastAsia="仿宋_GB2312" w:hAnsi="仿宋_GB2312" w:cs="仿宋_GB2312" w:hint="eastAsia"/>
                <w:color w:val="000000"/>
                <w:sz w:val="20"/>
                <w:szCs w:val="20"/>
              </w:rPr>
              <w:t xml:space="preserve"> ——每类危险化学品的实际存放量；</w:t>
            </w:r>
          </w:p>
          <w:p w14:paraId="2E2E6AA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Q1,Q2,…,</w:t>
            </w:r>
            <w:proofErr w:type="spellStart"/>
            <w:r w:rsidRPr="00EF4836">
              <w:rPr>
                <w:rFonts w:ascii="仿宋_GB2312" w:eastAsia="仿宋_GB2312" w:hAnsi="仿宋_GB2312" w:cs="仿宋_GB2312" w:hint="eastAsia"/>
                <w:color w:val="000000"/>
                <w:sz w:val="20"/>
                <w:szCs w:val="20"/>
              </w:rPr>
              <w:t>Qn</w:t>
            </w:r>
            <w:proofErr w:type="spellEnd"/>
            <w:r w:rsidRPr="00EF4836">
              <w:rPr>
                <w:rFonts w:ascii="仿宋_GB2312" w:eastAsia="仿宋_GB2312" w:hAnsi="仿宋_GB2312" w:cs="仿宋_GB2312" w:hint="eastAsia"/>
                <w:color w:val="000000"/>
                <w:sz w:val="20"/>
                <w:szCs w:val="20"/>
              </w:rPr>
              <w:t xml:space="preserve"> ——每类危险化学品相对应的最大存放量。</w:t>
            </w:r>
          </w:p>
        </w:tc>
        <w:tc>
          <w:tcPr>
            <w:tcW w:w="3868" w:type="dxa"/>
            <w:tcBorders>
              <w:tl2br w:val="nil"/>
              <w:tr2bl w:val="nil"/>
            </w:tcBorders>
            <w:vAlign w:val="center"/>
          </w:tcPr>
          <w:p w14:paraId="45BE3C8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1191.1-2025）第7.3.1、7.1.12条；</w:t>
            </w:r>
          </w:p>
          <w:p w14:paraId="2E24887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1191.2-2025）第6.2.1条；</w:t>
            </w:r>
          </w:p>
          <w:p w14:paraId="4A94286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1191.3-2024）第7.3.1条</w:t>
            </w:r>
          </w:p>
        </w:tc>
        <w:tc>
          <w:tcPr>
            <w:tcW w:w="376" w:type="dxa"/>
            <w:tcBorders>
              <w:tl2br w:val="nil"/>
              <w:tr2bl w:val="nil"/>
            </w:tcBorders>
          </w:tcPr>
          <w:p w14:paraId="30DDE156"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5AF9A7E3" w14:textId="77777777" w:rsidTr="008351BE">
        <w:trPr>
          <w:trHeight w:val="347"/>
          <w:jc w:val="center"/>
        </w:trPr>
        <w:tc>
          <w:tcPr>
            <w:tcW w:w="971" w:type="dxa"/>
            <w:tcBorders>
              <w:tl2br w:val="nil"/>
              <w:tr2bl w:val="nil"/>
            </w:tcBorders>
            <w:vAlign w:val="center"/>
          </w:tcPr>
          <w:p w14:paraId="52CA1DC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15.4.01.080</w:t>
            </w:r>
          </w:p>
        </w:tc>
        <w:tc>
          <w:tcPr>
            <w:tcW w:w="1064" w:type="dxa"/>
            <w:tcBorders>
              <w:tl2br w:val="nil"/>
              <w:tr2bl w:val="nil"/>
            </w:tcBorders>
            <w:vAlign w:val="center"/>
          </w:tcPr>
          <w:p w14:paraId="2EE5B8A2"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3DE8E80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平面布置类</w:t>
            </w:r>
          </w:p>
        </w:tc>
        <w:tc>
          <w:tcPr>
            <w:tcW w:w="2861" w:type="dxa"/>
            <w:tcBorders>
              <w:tl2br w:val="nil"/>
              <w:tr2bl w:val="nil"/>
            </w:tcBorders>
            <w:vAlign w:val="center"/>
          </w:tcPr>
          <w:p w14:paraId="2B1B4CAF" w14:textId="0761B8AF"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危险化学品的单一包装超50L或50kg。</w:t>
            </w:r>
          </w:p>
        </w:tc>
        <w:tc>
          <w:tcPr>
            <w:tcW w:w="3889" w:type="dxa"/>
            <w:tcBorders>
              <w:tl2br w:val="nil"/>
              <w:tr2bl w:val="nil"/>
            </w:tcBorders>
            <w:vAlign w:val="center"/>
          </w:tcPr>
          <w:p w14:paraId="5159A91E" w14:textId="64EA1141"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危险化学品的单一包装不应超50L或50kg。</w:t>
            </w:r>
          </w:p>
        </w:tc>
        <w:tc>
          <w:tcPr>
            <w:tcW w:w="3868" w:type="dxa"/>
            <w:tcBorders>
              <w:tl2br w:val="nil"/>
              <w:tr2bl w:val="nil"/>
            </w:tcBorders>
            <w:vAlign w:val="center"/>
          </w:tcPr>
          <w:p w14:paraId="77B9D20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1191.1-2025）第7.3.2条；</w:t>
            </w:r>
          </w:p>
          <w:p w14:paraId="2EBBCA4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w:t>
            </w:r>
            <w:r w:rsidRPr="00EF4836">
              <w:rPr>
                <w:rFonts w:ascii="仿宋_GB2312" w:eastAsia="仿宋_GB2312" w:hAnsi="仿宋_GB2312" w:cs="仿宋_GB2312" w:hint="eastAsia"/>
                <w:color w:val="000000"/>
                <w:sz w:val="20"/>
                <w:szCs w:val="20"/>
              </w:rPr>
              <w:lastRenderedPageBreak/>
              <w:t>6.2.2条；</w:t>
            </w:r>
          </w:p>
          <w:p w14:paraId="754C27B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1191.3-2024）第7.3.2条</w:t>
            </w:r>
          </w:p>
        </w:tc>
        <w:tc>
          <w:tcPr>
            <w:tcW w:w="376" w:type="dxa"/>
            <w:tcBorders>
              <w:tl2br w:val="nil"/>
              <w:tr2bl w:val="nil"/>
            </w:tcBorders>
          </w:tcPr>
          <w:p w14:paraId="059C5F1E"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632D4230" w14:textId="77777777" w:rsidTr="008351BE">
        <w:trPr>
          <w:trHeight w:val="347"/>
          <w:jc w:val="center"/>
        </w:trPr>
        <w:tc>
          <w:tcPr>
            <w:tcW w:w="971" w:type="dxa"/>
            <w:tcBorders>
              <w:tl2br w:val="nil"/>
              <w:tr2bl w:val="nil"/>
            </w:tcBorders>
            <w:vAlign w:val="center"/>
          </w:tcPr>
          <w:p w14:paraId="36AA8CD4"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15.4.01.081</w:t>
            </w:r>
          </w:p>
        </w:tc>
        <w:tc>
          <w:tcPr>
            <w:tcW w:w="1064" w:type="dxa"/>
            <w:tcBorders>
              <w:tl2br w:val="nil"/>
              <w:tr2bl w:val="nil"/>
            </w:tcBorders>
            <w:vAlign w:val="center"/>
          </w:tcPr>
          <w:p w14:paraId="47E960EE"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5F3861F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平面布置类类</w:t>
            </w:r>
          </w:p>
        </w:tc>
        <w:tc>
          <w:tcPr>
            <w:tcW w:w="2861" w:type="dxa"/>
            <w:tcBorders>
              <w:tl2br w:val="nil"/>
              <w:tr2bl w:val="nil"/>
            </w:tcBorders>
            <w:vAlign w:val="center"/>
          </w:tcPr>
          <w:p w14:paraId="111393A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一个防火分区内布置2间及以上危险化学品专用储存室时，危险化学品储存总量未合并计算，并超过1间危险化学品专用储存室的存放总量要求。</w:t>
            </w:r>
          </w:p>
        </w:tc>
        <w:tc>
          <w:tcPr>
            <w:tcW w:w="3889" w:type="dxa"/>
            <w:tcBorders>
              <w:tl2br w:val="nil"/>
              <w:tr2bl w:val="nil"/>
            </w:tcBorders>
            <w:vAlign w:val="center"/>
          </w:tcPr>
          <w:p w14:paraId="371453B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一个防火分区内布置2间及以上危险化学品专用储存室时，危险化学品储存总量应合并计算，并不应超过1间危险化学品专用储存室的存放总量要求。</w:t>
            </w:r>
          </w:p>
        </w:tc>
        <w:tc>
          <w:tcPr>
            <w:tcW w:w="3868" w:type="dxa"/>
            <w:tcBorders>
              <w:tl2br w:val="nil"/>
              <w:tr2bl w:val="nil"/>
            </w:tcBorders>
            <w:vAlign w:val="center"/>
          </w:tcPr>
          <w:p w14:paraId="21DCA2D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1191.1-2025）第7.3.3条</w:t>
            </w:r>
          </w:p>
        </w:tc>
        <w:tc>
          <w:tcPr>
            <w:tcW w:w="376" w:type="dxa"/>
            <w:tcBorders>
              <w:tl2br w:val="nil"/>
              <w:tr2bl w:val="nil"/>
            </w:tcBorders>
          </w:tcPr>
          <w:p w14:paraId="285F1820"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31328323" w14:textId="77777777" w:rsidTr="008351BE">
        <w:trPr>
          <w:trHeight w:val="347"/>
          <w:jc w:val="center"/>
        </w:trPr>
        <w:tc>
          <w:tcPr>
            <w:tcW w:w="971" w:type="dxa"/>
            <w:tcBorders>
              <w:tl2br w:val="nil"/>
              <w:tr2bl w:val="nil"/>
            </w:tcBorders>
            <w:vAlign w:val="center"/>
          </w:tcPr>
          <w:p w14:paraId="5A511EF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15.4.04.082</w:t>
            </w:r>
          </w:p>
        </w:tc>
        <w:tc>
          <w:tcPr>
            <w:tcW w:w="1064" w:type="dxa"/>
            <w:tcBorders>
              <w:tl2br w:val="nil"/>
              <w:tr2bl w:val="nil"/>
            </w:tcBorders>
            <w:vAlign w:val="center"/>
          </w:tcPr>
          <w:p w14:paraId="751E3A1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23A7FD1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作业环境类类</w:t>
            </w:r>
          </w:p>
        </w:tc>
        <w:tc>
          <w:tcPr>
            <w:tcW w:w="2861" w:type="dxa"/>
            <w:tcBorders>
              <w:tl2br w:val="nil"/>
              <w:tr2bl w:val="nil"/>
            </w:tcBorders>
            <w:vAlign w:val="center"/>
          </w:tcPr>
          <w:p w14:paraId="7EA6438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堆垛存放时，堆码未整齐、牢固、无倒置，堆垛之间未保持1 m以上的距离，堆垛与墙、柱间距未保持30cm以上的距离。</w:t>
            </w:r>
          </w:p>
        </w:tc>
        <w:tc>
          <w:tcPr>
            <w:tcW w:w="3889" w:type="dxa"/>
            <w:tcBorders>
              <w:tl2br w:val="nil"/>
              <w:tr2bl w:val="nil"/>
            </w:tcBorders>
            <w:vAlign w:val="center"/>
          </w:tcPr>
          <w:p w14:paraId="4B79BE3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堆垛存放时，堆码应整齐、牢固、无倒置，堆垛之间应保持1m以上的距离，堆垛与墙、柱间距应保持30cm以上的距离。</w:t>
            </w:r>
          </w:p>
        </w:tc>
        <w:tc>
          <w:tcPr>
            <w:tcW w:w="3868" w:type="dxa"/>
            <w:tcBorders>
              <w:tl2br w:val="nil"/>
              <w:tr2bl w:val="nil"/>
            </w:tcBorders>
            <w:vAlign w:val="center"/>
          </w:tcPr>
          <w:p w14:paraId="1883A0C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《危险化学品仓库储存通则》(GB15603-2022)6.2.5条b)c)d)；</w:t>
            </w:r>
          </w:p>
          <w:p w14:paraId="0CBC70E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1191.1-2025）第7.3.4条</w:t>
            </w:r>
          </w:p>
        </w:tc>
        <w:tc>
          <w:tcPr>
            <w:tcW w:w="376" w:type="dxa"/>
            <w:tcBorders>
              <w:tl2br w:val="nil"/>
              <w:tr2bl w:val="nil"/>
            </w:tcBorders>
          </w:tcPr>
          <w:p w14:paraId="344409A3"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0CE100B3" w14:textId="77777777" w:rsidTr="008351BE">
        <w:trPr>
          <w:trHeight w:val="347"/>
          <w:jc w:val="center"/>
        </w:trPr>
        <w:tc>
          <w:tcPr>
            <w:tcW w:w="971" w:type="dxa"/>
            <w:tcBorders>
              <w:tl2br w:val="nil"/>
              <w:tr2bl w:val="nil"/>
            </w:tcBorders>
            <w:vAlign w:val="center"/>
          </w:tcPr>
          <w:p w14:paraId="79DDB625"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15.2.12.083</w:t>
            </w:r>
          </w:p>
        </w:tc>
        <w:tc>
          <w:tcPr>
            <w:tcW w:w="1064" w:type="dxa"/>
            <w:tcBorders>
              <w:tl2br w:val="nil"/>
              <w:tr2bl w:val="nil"/>
            </w:tcBorders>
            <w:vAlign w:val="center"/>
          </w:tcPr>
          <w:p w14:paraId="49A1A0E0"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58A59FE5"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危险化学品类</w:t>
            </w:r>
          </w:p>
        </w:tc>
        <w:tc>
          <w:tcPr>
            <w:tcW w:w="2861" w:type="dxa"/>
            <w:tcBorders>
              <w:tl2br w:val="nil"/>
              <w:tr2bl w:val="nil"/>
            </w:tcBorders>
            <w:vAlign w:val="center"/>
          </w:tcPr>
          <w:p w14:paraId="64F3EAF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危险化学品直接与地面接触，垫底高度小于10cm。</w:t>
            </w:r>
          </w:p>
        </w:tc>
        <w:tc>
          <w:tcPr>
            <w:tcW w:w="3889" w:type="dxa"/>
            <w:tcBorders>
              <w:tl2br w:val="nil"/>
              <w:tr2bl w:val="nil"/>
            </w:tcBorders>
            <w:vAlign w:val="center"/>
          </w:tcPr>
          <w:p w14:paraId="7C899FE1" w14:textId="4AF6D529"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危险化学品不应直接与地面接触，垫底高度不应小于10cm。</w:t>
            </w:r>
          </w:p>
        </w:tc>
        <w:tc>
          <w:tcPr>
            <w:tcW w:w="3868" w:type="dxa"/>
            <w:tcBorders>
              <w:tl2br w:val="nil"/>
              <w:tr2bl w:val="nil"/>
            </w:tcBorders>
            <w:vAlign w:val="center"/>
          </w:tcPr>
          <w:p w14:paraId="46C763A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《危险化学品仓库储存通则》（GB15603-2022）第6.2.2条;</w:t>
            </w:r>
          </w:p>
          <w:p w14:paraId="6A46497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1191.1-2025）第7.3.5条；</w:t>
            </w:r>
          </w:p>
          <w:p w14:paraId="257C5D1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1191.3-2024）第7.3.4条</w:t>
            </w:r>
          </w:p>
        </w:tc>
        <w:tc>
          <w:tcPr>
            <w:tcW w:w="376" w:type="dxa"/>
            <w:tcBorders>
              <w:tl2br w:val="nil"/>
              <w:tr2bl w:val="nil"/>
            </w:tcBorders>
          </w:tcPr>
          <w:p w14:paraId="2F0C7B40"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0395FCB7" w14:textId="77777777" w:rsidTr="008351BE">
        <w:trPr>
          <w:trHeight w:val="347"/>
          <w:jc w:val="center"/>
        </w:trPr>
        <w:tc>
          <w:tcPr>
            <w:tcW w:w="971" w:type="dxa"/>
            <w:tcBorders>
              <w:tl2br w:val="nil"/>
              <w:tr2bl w:val="nil"/>
            </w:tcBorders>
            <w:vAlign w:val="center"/>
          </w:tcPr>
          <w:p w14:paraId="2EE47A37"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15.2.11.084</w:t>
            </w:r>
          </w:p>
        </w:tc>
        <w:tc>
          <w:tcPr>
            <w:tcW w:w="1064" w:type="dxa"/>
            <w:tcBorders>
              <w:tl2br w:val="nil"/>
              <w:tr2bl w:val="nil"/>
            </w:tcBorders>
            <w:vAlign w:val="center"/>
          </w:tcPr>
          <w:p w14:paraId="0E3169B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18B28F18"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其他设备设施类</w:t>
            </w:r>
          </w:p>
        </w:tc>
        <w:tc>
          <w:tcPr>
            <w:tcW w:w="2861" w:type="dxa"/>
            <w:tcBorders>
              <w:tl2br w:val="nil"/>
              <w:tr2bl w:val="nil"/>
            </w:tcBorders>
            <w:vAlign w:val="center"/>
          </w:tcPr>
          <w:p w14:paraId="152842D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货架未采取固定措施。</w:t>
            </w:r>
          </w:p>
        </w:tc>
        <w:tc>
          <w:tcPr>
            <w:tcW w:w="3889" w:type="dxa"/>
            <w:tcBorders>
              <w:tl2br w:val="nil"/>
              <w:tr2bl w:val="nil"/>
            </w:tcBorders>
            <w:vAlign w:val="center"/>
          </w:tcPr>
          <w:p w14:paraId="449A0C8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采用货架存放时货架应采取固定措施。</w:t>
            </w:r>
          </w:p>
        </w:tc>
        <w:tc>
          <w:tcPr>
            <w:tcW w:w="3868" w:type="dxa"/>
            <w:tcBorders>
              <w:tl2br w:val="nil"/>
              <w:tr2bl w:val="nil"/>
            </w:tcBorders>
            <w:vAlign w:val="center"/>
          </w:tcPr>
          <w:p w14:paraId="64DE59C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《危险化学品储存场所建设及储存安全要求》（DB11/T 755）第5.2.3条；</w:t>
            </w:r>
          </w:p>
          <w:p w14:paraId="4126E18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1191.1-2025）第7.3.6条</w:t>
            </w:r>
          </w:p>
        </w:tc>
        <w:tc>
          <w:tcPr>
            <w:tcW w:w="376" w:type="dxa"/>
            <w:tcBorders>
              <w:tl2br w:val="nil"/>
              <w:tr2bl w:val="nil"/>
            </w:tcBorders>
          </w:tcPr>
          <w:p w14:paraId="0BA63D9A"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77416631" w14:textId="77777777" w:rsidTr="008351BE">
        <w:trPr>
          <w:trHeight w:val="347"/>
          <w:jc w:val="center"/>
        </w:trPr>
        <w:tc>
          <w:tcPr>
            <w:tcW w:w="971" w:type="dxa"/>
            <w:tcBorders>
              <w:tl2br w:val="nil"/>
              <w:tr2bl w:val="nil"/>
            </w:tcBorders>
            <w:vAlign w:val="center"/>
          </w:tcPr>
          <w:p w14:paraId="2C0C9BB3"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15.4.04.085</w:t>
            </w:r>
          </w:p>
        </w:tc>
        <w:tc>
          <w:tcPr>
            <w:tcW w:w="1064" w:type="dxa"/>
            <w:tcBorders>
              <w:tl2br w:val="nil"/>
              <w:tr2bl w:val="nil"/>
            </w:tcBorders>
            <w:vAlign w:val="center"/>
          </w:tcPr>
          <w:p w14:paraId="7ABDE3B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61D6AEF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作业环境类类</w:t>
            </w:r>
          </w:p>
        </w:tc>
        <w:tc>
          <w:tcPr>
            <w:tcW w:w="2861" w:type="dxa"/>
            <w:tcBorders>
              <w:tl2br w:val="nil"/>
              <w:tr2bl w:val="nil"/>
            </w:tcBorders>
            <w:vAlign w:val="center"/>
          </w:tcPr>
          <w:p w14:paraId="0403036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储存室如与其他建筑物贴邻设置时，有门、窗与相邻建筑物相通。</w:t>
            </w:r>
          </w:p>
        </w:tc>
        <w:tc>
          <w:tcPr>
            <w:tcW w:w="3889" w:type="dxa"/>
            <w:tcBorders>
              <w:tl2br w:val="nil"/>
              <w:tr2bl w:val="nil"/>
            </w:tcBorders>
            <w:vAlign w:val="center"/>
          </w:tcPr>
          <w:p w14:paraId="02A5B5A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储存室如与其他建筑物贴邻设置时，不应有门、窗与相邻建筑物相通。</w:t>
            </w:r>
          </w:p>
        </w:tc>
        <w:tc>
          <w:tcPr>
            <w:tcW w:w="3868" w:type="dxa"/>
            <w:tcBorders>
              <w:tl2br w:val="nil"/>
              <w:tr2bl w:val="nil"/>
            </w:tcBorders>
            <w:vAlign w:val="center"/>
          </w:tcPr>
          <w:p w14:paraId="2A365C2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1191.1-2025）第5.3.5、5.3.6条</w:t>
            </w:r>
          </w:p>
        </w:tc>
        <w:tc>
          <w:tcPr>
            <w:tcW w:w="376" w:type="dxa"/>
            <w:tcBorders>
              <w:tl2br w:val="nil"/>
              <w:tr2bl w:val="nil"/>
            </w:tcBorders>
          </w:tcPr>
          <w:p w14:paraId="027901A9"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0804FFE1" w14:textId="77777777" w:rsidTr="008351BE">
        <w:trPr>
          <w:trHeight w:val="347"/>
          <w:jc w:val="center"/>
        </w:trPr>
        <w:tc>
          <w:tcPr>
            <w:tcW w:w="971" w:type="dxa"/>
            <w:tcBorders>
              <w:tl2br w:val="nil"/>
              <w:tr2bl w:val="nil"/>
            </w:tcBorders>
            <w:vAlign w:val="center"/>
          </w:tcPr>
          <w:p w14:paraId="22FA4FAE"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15.4.03.086</w:t>
            </w:r>
          </w:p>
        </w:tc>
        <w:tc>
          <w:tcPr>
            <w:tcW w:w="1064" w:type="dxa"/>
            <w:tcBorders>
              <w:tl2br w:val="nil"/>
              <w:tr2bl w:val="nil"/>
            </w:tcBorders>
            <w:vAlign w:val="center"/>
          </w:tcPr>
          <w:p w14:paraId="77CF8393"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6EF7958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标志及标识类</w:t>
            </w:r>
          </w:p>
        </w:tc>
        <w:tc>
          <w:tcPr>
            <w:tcW w:w="2861" w:type="dxa"/>
            <w:tcBorders>
              <w:tl2br w:val="nil"/>
              <w:tr2bl w:val="nil"/>
            </w:tcBorders>
            <w:vAlign w:val="center"/>
          </w:tcPr>
          <w:p w14:paraId="2B30A1C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储存室外未设置明显的安全警示标志。</w:t>
            </w:r>
          </w:p>
        </w:tc>
        <w:tc>
          <w:tcPr>
            <w:tcW w:w="3889" w:type="dxa"/>
            <w:tcBorders>
              <w:tl2br w:val="nil"/>
              <w:tr2bl w:val="nil"/>
            </w:tcBorders>
            <w:vAlign w:val="center"/>
          </w:tcPr>
          <w:p w14:paraId="03BB36A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储存室外应设置明显的安全警示标志。</w:t>
            </w:r>
          </w:p>
        </w:tc>
        <w:tc>
          <w:tcPr>
            <w:tcW w:w="3868" w:type="dxa"/>
            <w:tcBorders>
              <w:tl2br w:val="nil"/>
              <w:tr2bl w:val="nil"/>
            </w:tcBorders>
            <w:vAlign w:val="center"/>
          </w:tcPr>
          <w:p w14:paraId="402B37B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1191.3-2024）第6.8.3、8.1.16条；</w:t>
            </w:r>
          </w:p>
          <w:p w14:paraId="550666E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1191.2-2025）第4.5.3条</w:t>
            </w:r>
          </w:p>
        </w:tc>
        <w:tc>
          <w:tcPr>
            <w:tcW w:w="376" w:type="dxa"/>
            <w:tcBorders>
              <w:tl2br w:val="nil"/>
              <w:tr2bl w:val="nil"/>
            </w:tcBorders>
          </w:tcPr>
          <w:p w14:paraId="71A5FDC2"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69FBF405" w14:textId="77777777" w:rsidTr="008351BE">
        <w:trPr>
          <w:trHeight w:val="347"/>
          <w:jc w:val="center"/>
        </w:trPr>
        <w:tc>
          <w:tcPr>
            <w:tcW w:w="971" w:type="dxa"/>
            <w:tcBorders>
              <w:tl2br w:val="nil"/>
              <w:tr2bl w:val="nil"/>
            </w:tcBorders>
            <w:vAlign w:val="center"/>
          </w:tcPr>
          <w:p w14:paraId="42D90CB7"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15.2.11.087</w:t>
            </w:r>
          </w:p>
        </w:tc>
        <w:tc>
          <w:tcPr>
            <w:tcW w:w="1064" w:type="dxa"/>
            <w:tcBorders>
              <w:tl2br w:val="nil"/>
              <w:tr2bl w:val="nil"/>
            </w:tcBorders>
            <w:vAlign w:val="center"/>
          </w:tcPr>
          <w:p w14:paraId="1BC9A83E"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22480B3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其他设备设施类</w:t>
            </w:r>
          </w:p>
        </w:tc>
        <w:tc>
          <w:tcPr>
            <w:tcW w:w="2861" w:type="dxa"/>
            <w:tcBorders>
              <w:tl2br w:val="nil"/>
              <w:tr2bl w:val="nil"/>
            </w:tcBorders>
            <w:vAlign w:val="center"/>
          </w:tcPr>
          <w:p w14:paraId="40E4369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储存室未设防爆型通风设施，未在储存间外设置事故通风紧急开关。</w:t>
            </w:r>
          </w:p>
        </w:tc>
        <w:tc>
          <w:tcPr>
            <w:tcW w:w="3889" w:type="dxa"/>
            <w:tcBorders>
              <w:tl2br w:val="nil"/>
              <w:tr2bl w:val="nil"/>
            </w:tcBorders>
            <w:vAlign w:val="center"/>
          </w:tcPr>
          <w:p w14:paraId="0E10373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储存室应设防爆型通风设施，并在储存间外设置事故通风紧急开关。</w:t>
            </w:r>
          </w:p>
        </w:tc>
        <w:tc>
          <w:tcPr>
            <w:tcW w:w="3868" w:type="dxa"/>
            <w:tcBorders>
              <w:tl2br w:val="nil"/>
              <w:tr2bl w:val="nil"/>
            </w:tcBorders>
            <w:vAlign w:val="center"/>
          </w:tcPr>
          <w:p w14:paraId="1F2347C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《安全生产等级评定技术规范 第2部分：安全生产通用要求》（DB11/T 1322.2-2017）第3.8.4.6条；</w:t>
            </w:r>
          </w:p>
          <w:p w14:paraId="2786188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1191.3-2024）第6.5.5条；</w:t>
            </w:r>
          </w:p>
          <w:p w14:paraId="5E67CE7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1191.1-2025）第6.9条</w:t>
            </w:r>
          </w:p>
        </w:tc>
        <w:tc>
          <w:tcPr>
            <w:tcW w:w="376" w:type="dxa"/>
            <w:tcBorders>
              <w:tl2br w:val="nil"/>
              <w:tr2bl w:val="nil"/>
            </w:tcBorders>
          </w:tcPr>
          <w:p w14:paraId="4F68290F"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7AFC4CCF" w14:textId="77777777" w:rsidTr="008351BE">
        <w:trPr>
          <w:trHeight w:val="347"/>
          <w:jc w:val="center"/>
        </w:trPr>
        <w:tc>
          <w:tcPr>
            <w:tcW w:w="971" w:type="dxa"/>
            <w:tcBorders>
              <w:tl2br w:val="nil"/>
              <w:tr2bl w:val="nil"/>
            </w:tcBorders>
            <w:vAlign w:val="center"/>
          </w:tcPr>
          <w:p w14:paraId="01CD6047"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15.2.11.088</w:t>
            </w:r>
          </w:p>
        </w:tc>
        <w:tc>
          <w:tcPr>
            <w:tcW w:w="1064" w:type="dxa"/>
            <w:tcBorders>
              <w:tl2br w:val="nil"/>
              <w:tr2bl w:val="nil"/>
            </w:tcBorders>
            <w:vAlign w:val="center"/>
          </w:tcPr>
          <w:p w14:paraId="3EF32BF4"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11EA174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其他设备设施类</w:t>
            </w:r>
          </w:p>
        </w:tc>
        <w:tc>
          <w:tcPr>
            <w:tcW w:w="2861" w:type="dxa"/>
            <w:tcBorders>
              <w:tl2br w:val="nil"/>
              <w:tr2bl w:val="nil"/>
            </w:tcBorders>
          </w:tcPr>
          <w:p w14:paraId="5C8B849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储存室内使用与其他房间相连的中央空调，未设置独立通风系统。</w:t>
            </w:r>
          </w:p>
        </w:tc>
        <w:tc>
          <w:tcPr>
            <w:tcW w:w="3889" w:type="dxa"/>
            <w:tcBorders>
              <w:tl2br w:val="nil"/>
              <w:tr2bl w:val="nil"/>
            </w:tcBorders>
            <w:vAlign w:val="center"/>
          </w:tcPr>
          <w:p w14:paraId="6F6961A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储存室内不应使用与其他房间相连的中央空调，应设置独立通风系统。</w:t>
            </w:r>
          </w:p>
        </w:tc>
        <w:tc>
          <w:tcPr>
            <w:tcW w:w="3868" w:type="dxa"/>
            <w:tcBorders>
              <w:tl2br w:val="nil"/>
              <w:tr2bl w:val="nil"/>
            </w:tcBorders>
          </w:tcPr>
          <w:p w14:paraId="38D324B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1191.3-2024）第5.3.4条</w:t>
            </w:r>
          </w:p>
        </w:tc>
        <w:tc>
          <w:tcPr>
            <w:tcW w:w="376" w:type="dxa"/>
            <w:tcBorders>
              <w:tl2br w:val="nil"/>
              <w:tr2bl w:val="nil"/>
            </w:tcBorders>
          </w:tcPr>
          <w:p w14:paraId="17358357"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2246B9A6" w14:textId="77777777" w:rsidTr="008351BE">
        <w:trPr>
          <w:trHeight w:val="347"/>
          <w:jc w:val="center"/>
        </w:trPr>
        <w:tc>
          <w:tcPr>
            <w:tcW w:w="971" w:type="dxa"/>
            <w:tcBorders>
              <w:tl2br w:val="nil"/>
              <w:tr2bl w:val="nil"/>
            </w:tcBorders>
            <w:vAlign w:val="center"/>
          </w:tcPr>
          <w:p w14:paraId="3C1BA7D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15.2.11.089</w:t>
            </w:r>
          </w:p>
        </w:tc>
        <w:tc>
          <w:tcPr>
            <w:tcW w:w="1064" w:type="dxa"/>
            <w:tcBorders>
              <w:tl2br w:val="nil"/>
              <w:tr2bl w:val="nil"/>
            </w:tcBorders>
            <w:vAlign w:val="center"/>
          </w:tcPr>
          <w:p w14:paraId="0C02F30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6832C43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其他设备设施类</w:t>
            </w:r>
          </w:p>
        </w:tc>
        <w:tc>
          <w:tcPr>
            <w:tcW w:w="2861" w:type="dxa"/>
            <w:tcBorders>
              <w:tl2br w:val="nil"/>
              <w:tr2bl w:val="nil"/>
            </w:tcBorders>
            <w:vAlign w:val="center"/>
          </w:tcPr>
          <w:p w14:paraId="7E9E35F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危险化学品专用储存室内应设置温、湿度检测仪。存储对温度或/和湿度有特殊要求的危险化学品时未设置相应的温度或/和湿度检测和调节设备设施。</w:t>
            </w:r>
          </w:p>
        </w:tc>
        <w:tc>
          <w:tcPr>
            <w:tcW w:w="3889" w:type="dxa"/>
            <w:tcBorders>
              <w:tl2br w:val="nil"/>
              <w:tr2bl w:val="nil"/>
            </w:tcBorders>
            <w:vAlign w:val="center"/>
          </w:tcPr>
          <w:p w14:paraId="16882EB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危险化学品专用储存室内应设置温、湿度检测仪。存储对温度或/和湿度有特殊要求的危险化学品时，专用储存室内应按照GB 17914设置相应的温度或/和湿度检测和调节设备设施。</w:t>
            </w:r>
          </w:p>
        </w:tc>
        <w:tc>
          <w:tcPr>
            <w:tcW w:w="3868" w:type="dxa"/>
            <w:tcBorders>
              <w:tl2br w:val="nil"/>
              <w:tr2bl w:val="nil"/>
            </w:tcBorders>
            <w:vAlign w:val="center"/>
          </w:tcPr>
          <w:p w14:paraId="017556D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《易燃易爆性商品储存养护技术条件》（GB 17914-2013）；</w:t>
            </w:r>
          </w:p>
          <w:p w14:paraId="0D910B3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1191.3-2024）第6.4.3条</w:t>
            </w:r>
          </w:p>
        </w:tc>
        <w:tc>
          <w:tcPr>
            <w:tcW w:w="376" w:type="dxa"/>
            <w:tcBorders>
              <w:tl2br w:val="nil"/>
              <w:tr2bl w:val="nil"/>
            </w:tcBorders>
          </w:tcPr>
          <w:p w14:paraId="1068DF2F"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40EF9A54" w14:textId="77777777" w:rsidTr="008351BE">
        <w:trPr>
          <w:trHeight w:val="347"/>
          <w:jc w:val="center"/>
        </w:trPr>
        <w:tc>
          <w:tcPr>
            <w:tcW w:w="971" w:type="dxa"/>
            <w:tcBorders>
              <w:tl2br w:val="nil"/>
              <w:tr2bl w:val="nil"/>
            </w:tcBorders>
            <w:vAlign w:val="center"/>
          </w:tcPr>
          <w:p w14:paraId="0E4CCD8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15.2.11.090</w:t>
            </w:r>
          </w:p>
        </w:tc>
        <w:tc>
          <w:tcPr>
            <w:tcW w:w="1064" w:type="dxa"/>
            <w:tcBorders>
              <w:tl2br w:val="nil"/>
              <w:tr2bl w:val="nil"/>
            </w:tcBorders>
            <w:vAlign w:val="center"/>
          </w:tcPr>
          <w:p w14:paraId="3375FA1E"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50091DF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其他设备设施类</w:t>
            </w:r>
          </w:p>
        </w:tc>
        <w:tc>
          <w:tcPr>
            <w:tcW w:w="2861" w:type="dxa"/>
            <w:tcBorders>
              <w:tl2br w:val="nil"/>
              <w:tr2bl w:val="nil"/>
            </w:tcBorders>
          </w:tcPr>
          <w:p w14:paraId="08CF4C6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proofErr w:type="gramStart"/>
            <w:r w:rsidRPr="00EF4836">
              <w:rPr>
                <w:rFonts w:ascii="仿宋_GB2312" w:eastAsia="仿宋_GB2312" w:hAnsi="仿宋_GB2312" w:cs="仿宋_GB2312" w:hint="eastAsia"/>
                <w:color w:val="000000"/>
                <w:sz w:val="20"/>
                <w:szCs w:val="20"/>
              </w:rPr>
              <w:t>储存室未配备</w:t>
            </w:r>
            <w:proofErr w:type="gramEnd"/>
            <w:r w:rsidRPr="00EF4836">
              <w:rPr>
                <w:rFonts w:ascii="仿宋_GB2312" w:eastAsia="仿宋_GB2312" w:hAnsi="仿宋_GB2312" w:cs="仿宋_GB2312" w:hint="eastAsia"/>
                <w:color w:val="000000"/>
                <w:sz w:val="20"/>
                <w:szCs w:val="20"/>
              </w:rPr>
              <w:t>防爆型电气设备，如防爆灯、防爆开关、防爆</w:t>
            </w:r>
            <w:r w:rsidRPr="00EF4836">
              <w:rPr>
                <w:rFonts w:ascii="仿宋_GB2312" w:eastAsia="仿宋_GB2312" w:hAnsi="仿宋_GB2312" w:cs="仿宋_GB2312" w:hint="eastAsia"/>
                <w:color w:val="000000"/>
                <w:sz w:val="20"/>
                <w:szCs w:val="20"/>
              </w:rPr>
              <w:lastRenderedPageBreak/>
              <w:t>插座等。</w:t>
            </w:r>
          </w:p>
        </w:tc>
        <w:tc>
          <w:tcPr>
            <w:tcW w:w="3889" w:type="dxa"/>
            <w:tcBorders>
              <w:tl2br w:val="nil"/>
              <w:tr2bl w:val="nil"/>
            </w:tcBorders>
            <w:vAlign w:val="center"/>
          </w:tcPr>
          <w:p w14:paraId="13B21DE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储存室应配备防爆型电气设备，如防爆灯、防爆开关、防爆插座等。</w:t>
            </w:r>
          </w:p>
        </w:tc>
        <w:tc>
          <w:tcPr>
            <w:tcW w:w="3868" w:type="dxa"/>
            <w:tcBorders>
              <w:tl2br w:val="nil"/>
              <w:tr2bl w:val="nil"/>
            </w:tcBorders>
          </w:tcPr>
          <w:p w14:paraId="3330DEC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w:t>
            </w:r>
            <w:r w:rsidRPr="00EF4836">
              <w:rPr>
                <w:rFonts w:ascii="仿宋_GB2312" w:eastAsia="仿宋_GB2312" w:hAnsi="仿宋_GB2312" w:cs="仿宋_GB2312" w:hint="eastAsia"/>
                <w:color w:val="000000"/>
                <w:sz w:val="20"/>
                <w:szCs w:val="20"/>
              </w:rPr>
              <w:lastRenderedPageBreak/>
              <w:t>6.4.1条</w:t>
            </w:r>
          </w:p>
        </w:tc>
        <w:tc>
          <w:tcPr>
            <w:tcW w:w="376" w:type="dxa"/>
            <w:tcBorders>
              <w:tl2br w:val="nil"/>
              <w:tr2bl w:val="nil"/>
            </w:tcBorders>
          </w:tcPr>
          <w:p w14:paraId="74DF98A3"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74593A53" w14:textId="77777777" w:rsidTr="008351BE">
        <w:trPr>
          <w:trHeight w:val="347"/>
          <w:jc w:val="center"/>
        </w:trPr>
        <w:tc>
          <w:tcPr>
            <w:tcW w:w="971" w:type="dxa"/>
            <w:tcBorders>
              <w:tl2br w:val="nil"/>
              <w:tr2bl w:val="nil"/>
            </w:tcBorders>
            <w:vAlign w:val="center"/>
          </w:tcPr>
          <w:p w14:paraId="43005EC2"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15.2.11.091</w:t>
            </w:r>
          </w:p>
        </w:tc>
        <w:tc>
          <w:tcPr>
            <w:tcW w:w="1064" w:type="dxa"/>
            <w:tcBorders>
              <w:tl2br w:val="nil"/>
              <w:tr2bl w:val="nil"/>
            </w:tcBorders>
            <w:vAlign w:val="center"/>
          </w:tcPr>
          <w:p w14:paraId="004014F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35701A92"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其他设备设施类</w:t>
            </w:r>
          </w:p>
        </w:tc>
        <w:tc>
          <w:tcPr>
            <w:tcW w:w="2861" w:type="dxa"/>
            <w:tcBorders>
              <w:tl2br w:val="nil"/>
              <w:tr2bl w:val="nil"/>
            </w:tcBorders>
            <w:vAlign w:val="center"/>
          </w:tcPr>
          <w:p w14:paraId="28B835A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在爆炸危险场所的储存室设置非防爆的配电盒、配电箱以及其它非防爆电器。</w:t>
            </w:r>
          </w:p>
        </w:tc>
        <w:tc>
          <w:tcPr>
            <w:tcW w:w="3889" w:type="dxa"/>
            <w:tcBorders>
              <w:tl2br w:val="nil"/>
              <w:tr2bl w:val="nil"/>
            </w:tcBorders>
            <w:vAlign w:val="center"/>
          </w:tcPr>
          <w:p w14:paraId="3DEEE4A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不应在储存室设置非防爆的配电盒、配电箱以及其它非防爆电器。</w:t>
            </w:r>
          </w:p>
          <w:p w14:paraId="10C732EA" w14:textId="77777777" w:rsidR="00EF4836" w:rsidRPr="00EF4836" w:rsidRDefault="00EF4836" w:rsidP="008351BE">
            <w:pPr>
              <w:autoSpaceDE w:val="0"/>
              <w:autoSpaceDN w:val="0"/>
              <w:adjustRightInd w:val="0"/>
              <w:snapToGrid w:val="0"/>
              <w:rPr>
                <w:rFonts w:ascii="仿宋_GB2312" w:eastAsia="仿宋_GB2312" w:hint="eastAsia"/>
                <w:sz w:val="20"/>
                <w:szCs w:val="20"/>
              </w:rPr>
            </w:pPr>
            <w:r w:rsidRPr="00EF4836">
              <w:rPr>
                <w:rFonts w:ascii="仿宋_GB2312" w:eastAsia="仿宋_GB2312" w:hAnsi="仿宋_GB2312" w:cs="仿宋_GB2312" w:hint="eastAsia"/>
                <w:color w:val="000000"/>
                <w:sz w:val="20"/>
                <w:szCs w:val="20"/>
              </w:rPr>
              <w:t>爆炸危险场所未按标准规范要求安装使用防爆电气设备。</w:t>
            </w:r>
          </w:p>
        </w:tc>
        <w:tc>
          <w:tcPr>
            <w:tcW w:w="3868" w:type="dxa"/>
            <w:tcBorders>
              <w:tl2br w:val="nil"/>
              <w:tr2bl w:val="nil"/>
            </w:tcBorders>
          </w:tcPr>
          <w:p w14:paraId="44F8F6B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1191.1-2025）第6.8条；</w:t>
            </w:r>
          </w:p>
          <w:p w14:paraId="1E1E0E7F" w14:textId="77777777" w:rsidR="00EF4836" w:rsidRPr="00EF4836" w:rsidRDefault="00EF4836" w:rsidP="008351BE">
            <w:pPr>
              <w:autoSpaceDE w:val="0"/>
              <w:autoSpaceDN w:val="0"/>
              <w:adjustRightInd w:val="0"/>
              <w:snapToGrid w:val="0"/>
              <w:rPr>
                <w:rFonts w:ascii="仿宋_GB2312" w:eastAsia="仿宋_GB2312" w:hint="eastAsia"/>
                <w:sz w:val="20"/>
                <w:szCs w:val="20"/>
              </w:rPr>
            </w:pPr>
            <w:r w:rsidRPr="00EF4836">
              <w:rPr>
                <w:rFonts w:ascii="仿宋_GB2312" w:eastAsia="仿宋_GB2312" w:hAnsi="仿宋_GB2312" w:cs="仿宋_GB2312" w:hint="eastAsia"/>
                <w:color w:val="000000"/>
                <w:sz w:val="20"/>
                <w:szCs w:val="20"/>
              </w:rPr>
              <w:t>《化工和危险化学品企业重大生产安全事故隐患判定准则（征求意见稿）》第5.4.3条</w:t>
            </w:r>
          </w:p>
        </w:tc>
        <w:tc>
          <w:tcPr>
            <w:tcW w:w="376" w:type="dxa"/>
            <w:tcBorders>
              <w:tl2br w:val="nil"/>
              <w:tr2bl w:val="nil"/>
            </w:tcBorders>
          </w:tcPr>
          <w:p w14:paraId="021ED836"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r w:rsidRPr="00EF4836">
              <w:rPr>
                <w:rFonts w:ascii="仿宋_GB2312" w:eastAsia="仿宋_GB2312" w:hAnsi="黑体" w:cs="宋体" w:hint="eastAsia"/>
                <w:b/>
                <w:kern w:val="0"/>
                <w:sz w:val="20"/>
                <w:szCs w:val="20"/>
              </w:rPr>
              <w:t>★1</w:t>
            </w:r>
          </w:p>
        </w:tc>
      </w:tr>
      <w:tr w:rsidR="00EF4836" w:rsidRPr="00EF4836" w14:paraId="372CA484" w14:textId="77777777" w:rsidTr="008351BE">
        <w:trPr>
          <w:trHeight w:val="514"/>
          <w:jc w:val="center"/>
        </w:trPr>
        <w:tc>
          <w:tcPr>
            <w:tcW w:w="14118" w:type="dxa"/>
            <w:gridSpan w:val="7"/>
            <w:tcBorders>
              <w:tl2br w:val="nil"/>
              <w:tr2bl w:val="nil"/>
            </w:tcBorders>
            <w:shd w:val="clear" w:color="auto" w:fill="95B3D7"/>
            <w:vAlign w:val="center"/>
          </w:tcPr>
          <w:p w14:paraId="1E1F7087" w14:textId="77777777" w:rsidR="00EF4836" w:rsidRPr="00EF4836" w:rsidRDefault="00EF4836" w:rsidP="008351BE">
            <w:pPr>
              <w:widowControl/>
              <w:adjustRightInd w:val="0"/>
              <w:snapToGrid w:val="0"/>
              <w:jc w:val="center"/>
              <w:rPr>
                <w:rFonts w:ascii="仿宋_GB2312" w:eastAsia="仿宋_GB2312" w:hAnsi="黑体" w:cs="宋体" w:hint="eastAsia"/>
                <w:bCs/>
                <w:kern w:val="0"/>
                <w:sz w:val="20"/>
                <w:szCs w:val="20"/>
              </w:rPr>
            </w:pPr>
            <w:r w:rsidRPr="00EF4836">
              <w:rPr>
                <w:rFonts w:ascii="仿宋_GB2312" w:eastAsia="仿宋_GB2312" w:hAnsi="黑体" w:cs="宋体" w:hint="eastAsia"/>
                <w:bCs/>
                <w:kern w:val="0"/>
                <w:sz w:val="20"/>
                <w:szCs w:val="20"/>
              </w:rPr>
              <w:t>气瓶间</w:t>
            </w:r>
          </w:p>
        </w:tc>
      </w:tr>
      <w:tr w:rsidR="00EF4836" w:rsidRPr="00EF4836" w14:paraId="5E804713" w14:textId="77777777" w:rsidTr="008351BE">
        <w:trPr>
          <w:trHeight w:val="347"/>
          <w:jc w:val="center"/>
        </w:trPr>
        <w:tc>
          <w:tcPr>
            <w:tcW w:w="971" w:type="dxa"/>
            <w:tcBorders>
              <w:tl2br w:val="nil"/>
              <w:tr2bl w:val="nil"/>
            </w:tcBorders>
            <w:vAlign w:val="center"/>
          </w:tcPr>
          <w:p w14:paraId="46B01BA4"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15.2.11.092</w:t>
            </w:r>
          </w:p>
        </w:tc>
        <w:tc>
          <w:tcPr>
            <w:tcW w:w="1064" w:type="dxa"/>
            <w:tcBorders>
              <w:tl2br w:val="nil"/>
              <w:tr2bl w:val="nil"/>
            </w:tcBorders>
            <w:vAlign w:val="center"/>
          </w:tcPr>
          <w:p w14:paraId="6D214B8D"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315C4C6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其他设备设施类</w:t>
            </w:r>
          </w:p>
        </w:tc>
        <w:tc>
          <w:tcPr>
            <w:tcW w:w="2861" w:type="dxa"/>
            <w:tcBorders>
              <w:tl2br w:val="nil"/>
              <w:tr2bl w:val="nil"/>
            </w:tcBorders>
            <w:vAlign w:val="center"/>
          </w:tcPr>
          <w:p w14:paraId="3CEC89C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未按存放</w:t>
            </w:r>
            <w:proofErr w:type="gramStart"/>
            <w:r w:rsidRPr="00EF4836">
              <w:rPr>
                <w:rFonts w:ascii="仿宋_GB2312" w:eastAsia="仿宋_GB2312" w:hAnsi="仿宋_GB2312" w:cs="仿宋_GB2312" w:hint="eastAsia"/>
                <w:color w:val="000000"/>
                <w:sz w:val="20"/>
                <w:szCs w:val="20"/>
              </w:rPr>
              <w:t>量设置</w:t>
            </w:r>
            <w:proofErr w:type="gramEnd"/>
            <w:r w:rsidRPr="00EF4836">
              <w:rPr>
                <w:rFonts w:ascii="仿宋_GB2312" w:eastAsia="仿宋_GB2312" w:hAnsi="仿宋_GB2312" w:cs="仿宋_GB2312" w:hint="eastAsia"/>
                <w:color w:val="000000"/>
                <w:sz w:val="20"/>
                <w:szCs w:val="20"/>
              </w:rPr>
              <w:t>气瓶室。</w:t>
            </w:r>
          </w:p>
        </w:tc>
        <w:tc>
          <w:tcPr>
            <w:tcW w:w="3889" w:type="dxa"/>
            <w:tcBorders>
              <w:tl2br w:val="nil"/>
              <w:tr2bl w:val="nil"/>
            </w:tcBorders>
            <w:vAlign w:val="center"/>
          </w:tcPr>
          <w:p w14:paraId="596F4AA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下列情况应设置气瓶室:</w:t>
            </w:r>
          </w:p>
          <w:p w14:paraId="1D8F9F9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a） 易燃气体存放总量 36 Nm3（如工作压力 15 MPa 时相当于 40 L 的 6 瓶）以下或不超过一昼夜使用量；</w:t>
            </w:r>
          </w:p>
          <w:p w14:paraId="29EA432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b） 非易燃无毒气体存放总量 60 Nm3（如工作压力 15 MPa 时相当于 40 L 的 10 瓶）以下或不超过一昼夜使用量；</w:t>
            </w:r>
          </w:p>
          <w:p w14:paraId="1B1F7DE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c）在不违反危险化学品储存禁忌规定的情况下，单一气瓶室内存储的气瓶为多品种时，按照式（1）计算，a的值小于 1。</w:t>
            </w:r>
          </w:p>
          <w:p w14:paraId="222D99A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 xml:space="preserve">a = q1/Q1 + q2/Q2 + ...+ </w:t>
            </w:r>
            <w:proofErr w:type="spellStart"/>
            <w:r w:rsidRPr="00EF4836">
              <w:rPr>
                <w:rFonts w:ascii="仿宋_GB2312" w:eastAsia="仿宋_GB2312" w:hAnsi="仿宋_GB2312" w:cs="仿宋_GB2312" w:hint="eastAsia"/>
                <w:color w:val="000000"/>
                <w:sz w:val="20"/>
                <w:szCs w:val="20"/>
              </w:rPr>
              <w:t>qn</w:t>
            </w:r>
            <w:proofErr w:type="spellEnd"/>
            <w:r w:rsidRPr="00EF4836">
              <w:rPr>
                <w:rFonts w:ascii="仿宋_GB2312" w:eastAsia="仿宋_GB2312" w:hAnsi="仿宋_GB2312" w:cs="仿宋_GB2312" w:hint="eastAsia"/>
                <w:color w:val="000000"/>
                <w:sz w:val="20"/>
                <w:szCs w:val="20"/>
              </w:rPr>
              <w:t>/</w:t>
            </w:r>
            <w:proofErr w:type="spellStart"/>
            <w:r w:rsidRPr="00EF4836">
              <w:rPr>
                <w:rFonts w:ascii="仿宋_GB2312" w:eastAsia="仿宋_GB2312" w:hAnsi="仿宋_GB2312" w:cs="仿宋_GB2312" w:hint="eastAsia"/>
                <w:color w:val="000000"/>
                <w:sz w:val="20"/>
                <w:szCs w:val="20"/>
              </w:rPr>
              <w:t>Qn</w:t>
            </w:r>
            <w:proofErr w:type="spellEnd"/>
            <w:r w:rsidRPr="00EF4836">
              <w:rPr>
                <w:rFonts w:ascii="仿宋_GB2312" w:eastAsia="仿宋_GB2312" w:hAnsi="仿宋_GB2312" w:cs="仿宋_GB2312" w:hint="eastAsia"/>
                <w:color w:val="000000"/>
                <w:sz w:val="20"/>
                <w:szCs w:val="20"/>
              </w:rPr>
              <w:t xml:space="preserve"> ...... （1）</w:t>
            </w:r>
          </w:p>
          <w:p w14:paraId="4A6C5EE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式中：q1,q2,…,</w:t>
            </w:r>
            <w:proofErr w:type="spellStart"/>
            <w:r w:rsidRPr="00EF4836">
              <w:rPr>
                <w:rFonts w:ascii="仿宋_GB2312" w:eastAsia="仿宋_GB2312" w:hAnsi="仿宋_GB2312" w:cs="仿宋_GB2312" w:hint="eastAsia"/>
                <w:color w:val="000000"/>
                <w:sz w:val="20"/>
                <w:szCs w:val="20"/>
              </w:rPr>
              <w:t>qn</w:t>
            </w:r>
            <w:proofErr w:type="spellEnd"/>
            <w:r w:rsidRPr="00EF4836">
              <w:rPr>
                <w:rFonts w:ascii="仿宋_GB2312" w:eastAsia="仿宋_GB2312" w:hAnsi="仿宋_GB2312" w:cs="仿宋_GB2312" w:hint="eastAsia"/>
                <w:color w:val="000000"/>
                <w:sz w:val="20"/>
                <w:szCs w:val="20"/>
              </w:rPr>
              <w:t xml:space="preserve"> ——每类危险化学品的实际存放量；</w:t>
            </w:r>
          </w:p>
          <w:p w14:paraId="3A80B4F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Q1,Q2,…,</w:t>
            </w:r>
            <w:proofErr w:type="spellStart"/>
            <w:r w:rsidRPr="00EF4836">
              <w:rPr>
                <w:rFonts w:ascii="仿宋_GB2312" w:eastAsia="仿宋_GB2312" w:hAnsi="仿宋_GB2312" w:cs="仿宋_GB2312" w:hint="eastAsia"/>
                <w:color w:val="000000"/>
                <w:sz w:val="20"/>
                <w:szCs w:val="20"/>
              </w:rPr>
              <w:t>Qn</w:t>
            </w:r>
            <w:proofErr w:type="spellEnd"/>
            <w:r w:rsidRPr="00EF4836">
              <w:rPr>
                <w:rFonts w:ascii="仿宋_GB2312" w:eastAsia="仿宋_GB2312" w:hAnsi="仿宋_GB2312" w:cs="仿宋_GB2312" w:hint="eastAsia"/>
                <w:color w:val="000000"/>
                <w:sz w:val="20"/>
                <w:szCs w:val="20"/>
              </w:rPr>
              <w:t xml:space="preserve"> ——每类危险化学品相对应的最大存放量。</w:t>
            </w:r>
          </w:p>
          <w:p w14:paraId="76AADEF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d） 一个防火分区内布置2间及以上危险化学品气瓶间时，危险化学品储存总量应合并计算，并不应超过1间危险化学品气瓶间</w:t>
            </w:r>
            <w:r w:rsidRPr="00EF4836">
              <w:rPr>
                <w:rFonts w:ascii="仿宋_GB2312" w:eastAsia="仿宋_GB2312" w:hAnsi="仿宋_GB2312" w:cs="仿宋_GB2312" w:hint="eastAsia"/>
                <w:color w:val="000000"/>
                <w:sz w:val="20"/>
                <w:szCs w:val="20"/>
              </w:rPr>
              <w:lastRenderedPageBreak/>
              <w:t>的存放总量要求。</w:t>
            </w:r>
          </w:p>
        </w:tc>
        <w:tc>
          <w:tcPr>
            <w:tcW w:w="3868" w:type="dxa"/>
            <w:tcBorders>
              <w:tl2br w:val="nil"/>
              <w:tr2bl w:val="nil"/>
            </w:tcBorders>
            <w:vAlign w:val="center"/>
          </w:tcPr>
          <w:p w14:paraId="143879E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《安全生产等级评定技术规范 第2部分：安全生产通用要求》（DB11/T 1322.2-2017）第3.8.1.10条；</w:t>
            </w:r>
          </w:p>
          <w:p w14:paraId="55A97A8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1191.1-2025）第7.1.12条</w:t>
            </w:r>
          </w:p>
        </w:tc>
        <w:tc>
          <w:tcPr>
            <w:tcW w:w="376" w:type="dxa"/>
            <w:tcBorders>
              <w:tl2br w:val="nil"/>
              <w:tr2bl w:val="nil"/>
            </w:tcBorders>
          </w:tcPr>
          <w:p w14:paraId="61CF085A"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07DB4872" w14:textId="77777777" w:rsidTr="008351BE">
        <w:trPr>
          <w:trHeight w:val="347"/>
          <w:jc w:val="center"/>
        </w:trPr>
        <w:tc>
          <w:tcPr>
            <w:tcW w:w="971" w:type="dxa"/>
            <w:tcBorders>
              <w:tl2br w:val="nil"/>
              <w:tr2bl w:val="nil"/>
            </w:tcBorders>
            <w:vAlign w:val="center"/>
          </w:tcPr>
          <w:p w14:paraId="7A3390B2"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15.2.11.093</w:t>
            </w:r>
          </w:p>
        </w:tc>
        <w:tc>
          <w:tcPr>
            <w:tcW w:w="1064" w:type="dxa"/>
            <w:tcBorders>
              <w:tl2br w:val="nil"/>
              <w:tr2bl w:val="nil"/>
            </w:tcBorders>
            <w:vAlign w:val="center"/>
          </w:tcPr>
          <w:p w14:paraId="2742F2F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4E703377"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其他设备设施类</w:t>
            </w:r>
          </w:p>
        </w:tc>
        <w:tc>
          <w:tcPr>
            <w:tcW w:w="2861" w:type="dxa"/>
            <w:tcBorders>
              <w:tl2br w:val="nil"/>
              <w:tr2bl w:val="nil"/>
            </w:tcBorders>
            <w:vAlign w:val="center"/>
          </w:tcPr>
          <w:p w14:paraId="4173437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气瓶间未单独设置，与其他建筑物贴邻设置时，有门、窗相通。</w:t>
            </w:r>
          </w:p>
        </w:tc>
        <w:tc>
          <w:tcPr>
            <w:tcW w:w="3889" w:type="dxa"/>
            <w:tcBorders>
              <w:tl2br w:val="nil"/>
              <w:tr2bl w:val="nil"/>
            </w:tcBorders>
            <w:vAlign w:val="center"/>
          </w:tcPr>
          <w:p w14:paraId="7DF0AB0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气瓶间应单独设置，与其他建筑物贴邻设置时，不应有门、窗相通。</w:t>
            </w:r>
          </w:p>
        </w:tc>
        <w:tc>
          <w:tcPr>
            <w:tcW w:w="3868" w:type="dxa"/>
            <w:tcBorders>
              <w:tl2br w:val="nil"/>
              <w:tr2bl w:val="nil"/>
            </w:tcBorders>
            <w:vAlign w:val="center"/>
          </w:tcPr>
          <w:p w14:paraId="14DF557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1191.3-2024）第5.3.6条a）</w:t>
            </w:r>
          </w:p>
        </w:tc>
        <w:tc>
          <w:tcPr>
            <w:tcW w:w="376" w:type="dxa"/>
            <w:tcBorders>
              <w:tl2br w:val="nil"/>
              <w:tr2bl w:val="nil"/>
            </w:tcBorders>
          </w:tcPr>
          <w:p w14:paraId="56DD6E3F"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302AE0D1" w14:textId="77777777" w:rsidTr="008351BE">
        <w:trPr>
          <w:trHeight w:val="347"/>
          <w:jc w:val="center"/>
        </w:trPr>
        <w:tc>
          <w:tcPr>
            <w:tcW w:w="971" w:type="dxa"/>
            <w:tcBorders>
              <w:tl2br w:val="nil"/>
              <w:tr2bl w:val="nil"/>
            </w:tcBorders>
            <w:vAlign w:val="center"/>
          </w:tcPr>
          <w:p w14:paraId="027703ED"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15.2.11.094</w:t>
            </w:r>
          </w:p>
        </w:tc>
        <w:tc>
          <w:tcPr>
            <w:tcW w:w="1064" w:type="dxa"/>
            <w:tcBorders>
              <w:tl2br w:val="nil"/>
              <w:tr2bl w:val="nil"/>
            </w:tcBorders>
            <w:vAlign w:val="center"/>
          </w:tcPr>
          <w:p w14:paraId="2ADE4BA7"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2D09141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其他设备设施类</w:t>
            </w:r>
          </w:p>
        </w:tc>
        <w:tc>
          <w:tcPr>
            <w:tcW w:w="2861" w:type="dxa"/>
            <w:tcBorders>
              <w:tl2br w:val="nil"/>
              <w:tr2bl w:val="nil"/>
            </w:tcBorders>
            <w:vAlign w:val="center"/>
          </w:tcPr>
          <w:p w14:paraId="5055BA8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使用气体未配置气瓶柜或气瓶防倒链、防倒栏栅等设备。备用气瓶、空瓶存放在实验室内。</w:t>
            </w:r>
          </w:p>
        </w:tc>
        <w:tc>
          <w:tcPr>
            <w:tcW w:w="3889" w:type="dxa"/>
            <w:tcBorders>
              <w:tl2br w:val="nil"/>
              <w:tr2bl w:val="nil"/>
            </w:tcBorders>
            <w:vAlign w:val="center"/>
          </w:tcPr>
          <w:p w14:paraId="03E2DCD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使用气体应配置气瓶柜或气瓶防倒链、防倒栏栅等设备。备用气瓶、空瓶不应存放在实验室内。</w:t>
            </w:r>
          </w:p>
        </w:tc>
        <w:tc>
          <w:tcPr>
            <w:tcW w:w="3868" w:type="dxa"/>
            <w:tcBorders>
              <w:tl2br w:val="nil"/>
              <w:tr2bl w:val="nil"/>
            </w:tcBorders>
            <w:vAlign w:val="center"/>
          </w:tcPr>
          <w:p w14:paraId="313FC6C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《气瓶搬运、装卸、储存和使用安全规定》（GB /T 34525-2017）第8.2.8条；</w:t>
            </w:r>
          </w:p>
          <w:p w14:paraId="76B8A3F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1191.3-2024）第6.2.3条</w:t>
            </w:r>
          </w:p>
        </w:tc>
        <w:tc>
          <w:tcPr>
            <w:tcW w:w="376" w:type="dxa"/>
            <w:tcBorders>
              <w:tl2br w:val="nil"/>
              <w:tr2bl w:val="nil"/>
            </w:tcBorders>
          </w:tcPr>
          <w:p w14:paraId="247824DC"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67716B36" w14:textId="77777777" w:rsidTr="008351BE">
        <w:trPr>
          <w:trHeight w:val="347"/>
          <w:jc w:val="center"/>
        </w:trPr>
        <w:tc>
          <w:tcPr>
            <w:tcW w:w="971" w:type="dxa"/>
            <w:tcBorders>
              <w:tl2br w:val="nil"/>
              <w:tr2bl w:val="nil"/>
            </w:tcBorders>
            <w:vAlign w:val="center"/>
          </w:tcPr>
          <w:p w14:paraId="77FF840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15.2.11.095</w:t>
            </w:r>
          </w:p>
        </w:tc>
        <w:tc>
          <w:tcPr>
            <w:tcW w:w="1064" w:type="dxa"/>
            <w:tcBorders>
              <w:tl2br w:val="nil"/>
              <w:tr2bl w:val="nil"/>
            </w:tcBorders>
            <w:vAlign w:val="center"/>
          </w:tcPr>
          <w:p w14:paraId="20799D33"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7490631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其他设备设施类</w:t>
            </w:r>
          </w:p>
        </w:tc>
        <w:tc>
          <w:tcPr>
            <w:tcW w:w="2861" w:type="dxa"/>
            <w:tcBorders>
              <w:tl2br w:val="nil"/>
              <w:tr2bl w:val="nil"/>
            </w:tcBorders>
            <w:vAlign w:val="center"/>
          </w:tcPr>
          <w:p w14:paraId="6236B16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实验区内设置氢气、乙炔、环氧乙烷气瓶，未设置在专用防爆柜中，未设置可燃气体浓度检测报警器，其排风管未使用不燃材料，并未直接通向室外安全地点。</w:t>
            </w:r>
          </w:p>
          <w:p w14:paraId="674108B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工业企业</w:t>
            </w:r>
            <w:proofErr w:type="gramStart"/>
            <w:r w:rsidRPr="00EF4836">
              <w:rPr>
                <w:rFonts w:ascii="仿宋_GB2312" w:eastAsia="仿宋_GB2312" w:hAnsi="仿宋_GB2312" w:cs="仿宋_GB2312" w:hint="eastAsia"/>
                <w:color w:val="000000"/>
                <w:sz w:val="20"/>
                <w:szCs w:val="20"/>
              </w:rPr>
              <w:t>气瓶柜未设置</w:t>
            </w:r>
            <w:proofErr w:type="gramEnd"/>
            <w:r w:rsidRPr="00EF4836">
              <w:rPr>
                <w:rFonts w:ascii="仿宋_GB2312" w:eastAsia="仿宋_GB2312" w:hAnsi="仿宋_GB2312" w:cs="仿宋_GB2312" w:hint="eastAsia"/>
                <w:color w:val="000000"/>
                <w:sz w:val="20"/>
                <w:szCs w:val="20"/>
              </w:rPr>
              <w:t>可燃气体浓度检测报警器。</w:t>
            </w:r>
          </w:p>
        </w:tc>
        <w:tc>
          <w:tcPr>
            <w:tcW w:w="3889" w:type="dxa"/>
            <w:tcBorders>
              <w:tl2br w:val="nil"/>
              <w:tr2bl w:val="nil"/>
            </w:tcBorders>
            <w:vAlign w:val="center"/>
          </w:tcPr>
          <w:p w14:paraId="44F96E0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实验区内禁止设置氢气、乙炔、环氧乙烷气瓶，必须设置时，应设置在专用防爆柜中，并设置可燃气体浓度检测报警器，其排风管应使用不燃材料，并应直接通向室外安全地点。</w:t>
            </w:r>
          </w:p>
          <w:p w14:paraId="2FFF49A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存在可燃或有毒气体泄漏风险的场所未按设计要求设置气体探测器或气体探测器功能失效；GDS未投入使用。</w:t>
            </w:r>
          </w:p>
        </w:tc>
        <w:tc>
          <w:tcPr>
            <w:tcW w:w="3868" w:type="dxa"/>
            <w:tcBorders>
              <w:tl2br w:val="nil"/>
              <w:tr2bl w:val="nil"/>
            </w:tcBorders>
            <w:vAlign w:val="center"/>
          </w:tcPr>
          <w:p w14:paraId="6FB870B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《石油化工可燃气体和有毒气体检测报警设计标准》GB/T50493-2019 3 基本规定：3.0.1-3.0.5；</w:t>
            </w:r>
          </w:p>
          <w:p w14:paraId="11C9046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1191.3-2024）第6.2.4条</w:t>
            </w:r>
          </w:p>
          <w:p w14:paraId="67BAE13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《化工和危险化学品企业重大生产安全事故隐患判定准则（征求意见稿）》第5.4.2条</w:t>
            </w:r>
          </w:p>
        </w:tc>
        <w:tc>
          <w:tcPr>
            <w:tcW w:w="376" w:type="dxa"/>
            <w:tcBorders>
              <w:tl2br w:val="nil"/>
              <w:tr2bl w:val="nil"/>
            </w:tcBorders>
            <w:vAlign w:val="center"/>
          </w:tcPr>
          <w:p w14:paraId="075F2093"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r w:rsidRPr="00EF4836">
              <w:rPr>
                <w:rFonts w:ascii="仿宋_GB2312" w:eastAsia="仿宋_GB2312" w:hAnsi="仿宋_GB2312" w:cs="仿宋_GB2312" w:hint="eastAsia"/>
                <w:b/>
                <w:color w:val="000000"/>
                <w:kern w:val="0"/>
                <w:sz w:val="20"/>
                <w:szCs w:val="20"/>
              </w:rPr>
              <w:t>★1</w:t>
            </w:r>
          </w:p>
        </w:tc>
      </w:tr>
      <w:tr w:rsidR="00EF4836" w:rsidRPr="00EF4836" w14:paraId="15033FAB" w14:textId="77777777" w:rsidTr="008351BE">
        <w:trPr>
          <w:trHeight w:val="347"/>
          <w:jc w:val="center"/>
        </w:trPr>
        <w:tc>
          <w:tcPr>
            <w:tcW w:w="971" w:type="dxa"/>
            <w:tcBorders>
              <w:tl2br w:val="nil"/>
              <w:tr2bl w:val="nil"/>
            </w:tcBorders>
            <w:vAlign w:val="center"/>
          </w:tcPr>
          <w:p w14:paraId="052ADF3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15.2.11.096</w:t>
            </w:r>
          </w:p>
        </w:tc>
        <w:tc>
          <w:tcPr>
            <w:tcW w:w="1064" w:type="dxa"/>
            <w:tcBorders>
              <w:tl2br w:val="nil"/>
              <w:tr2bl w:val="nil"/>
            </w:tcBorders>
            <w:vAlign w:val="center"/>
          </w:tcPr>
          <w:p w14:paraId="58C230B3"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2CD31633"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其他设备设施类</w:t>
            </w:r>
          </w:p>
        </w:tc>
        <w:tc>
          <w:tcPr>
            <w:tcW w:w="2861" w:type="dxa"/>
            <w:tcBorders>
              <w:tl2br w:val="nil"/>
              <w:tr2bl w:val="nil"/>
            </w:tcBorders>
            <w:vAlign w:val="center"/>
          </w:tcPr>
          <w:p w14:paraId="39076DD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室内气瓶室未设通风设施，并在气瓶间外未设置事故通风紧急开关。存放剧毒或高毒气体的</w:t>
            </w:r>
            <w:proofErr w:type="gramStart"/>
            <w:r w:rsidRPr="00EF4836">
              <w:rPr>
                <w:rFonts w:ascii="仿宋_GB2312" w:eastAsia="仿宋_GB2312" w:hAnsi="仿宋_GB2312" w:cs="仿宋_GB2312" w:hint="eastAsia"/>
                <w:color w:val="000000"/>
                <w:sz w:val="20"/>
                <w:szCs w:val="20"/>
              </w:rPr>
              <w:t>气瓶柜未连接</w:t>
            </w:r>
            <w:proofErr w:type="gramEnd"/>
            <w:r w:rsidRPr="00EF4836">
              <w:rPr>
                <w:rFonts w:ascii="仿宋_GB2312" w:eastAsia="仿宋_GB2312" w:hAnsi="仿宋_GB2312" w:cs="仿宋_GB2312" w:hint="eastAsia"/>
                <w:color w:val="000000"/>
                <w:sz w:val="20"/>
                <w:szCs w:val="20"/>
              </w:rPr>
              <w:t>到通风设施。</w:t>
            </w:r>
          </w:p>
        </w:tc>
        <w:tc>
          <w:tcPr>
            <w:tcW w:w="3889" w:type="dxa"/>
            <w:tcBorders>
              <w:tl2br w:val="nil"/>
              <w:tr2bl w:val="nil"/>
            </w:tcBorders>
            <w:vAlign w:val="center"/>
          </w:tcPr>
          <w:p w14:paraId="6D0D4CE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室内气瓶室应设通风设施，并在气瓶间外设置事故通风紧急开关。存放剧毒或高毒气体的气瓶柜应连接到通风设施。</w:t>
            </w:r>
          </w:p>
        </w:tc>
        <w:tc>
          <w:tcPr>
            <w:tcW w:w="3868" w:type="dxa"/>
            <w:tcBorders>
              <w:tl2br w:val="nil"/>
              <w:tr2bl w:val="nil"/>
            </w:tcBorders>
            <w:vAlign w:val="center"/>
          </w:tcPr>
          <w:p w14:paraId="324C59E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1191.1-2025）第6.10条；</w:t>
            </w:r>
          </w:p>
          <w:p w14:paraId="3621522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1191.2-2025）第5.2.3条；</w:t>
            </w:r>
          </w:p>
          <w:p w14:paraId="375A53B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1191.3-2024）第6.5.4条</w:t>
            </w:r>
          </w:p>
        </w:tc>
        <w:tc>
          <w:tcPr>
            <w:tcW w:w="376" w:type="dxa"/>
            <w:tcBorders>
              <w:tl2br w:val="nil"/>
              <w:tr2bl w:val="nil"/>
            </w:tcBorders>
          </w:tcPr>
          <w:p w14:paraId="1F4AD612"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6299C026" w14:textId="77777777" w:rsidTr="008351BE">
        <w:trPr>
          <w:trHeight w:val="347"/>
          <w:jc w:val="center"/>
        </w:trPr>
        <w:tc>
          <w:tcPr>
            <w:tcW w:w="971" w:type="dxa"/>
            <w:tcBorders>
              <w:tl2br w:val="nil"/>
              <w:tr2bl w:val="nil"/>
            </w:tcBorders>
            <w:vAlign w:val="center"/>
          </w:tcPr>
          <w:p w14:paraId="38AE2F68"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15.2.11</w:t>
            </w:r>
            <w:r w:rsidRPr="00EF4836">
              <w:rPr>
                <w:rFonts w:ascii="仿宋_GB2312" w:eastAsia="仿宋_GB2312" w:hAnsi="仿宋_GB2312" w:cs="仿宋_GB2312" w:hint="eastAsia"/>
                <w:color w:val="000000"/>
                <w:sz w:val="20"/>
                <w:szCs w:val="20"/>
              </w:rPr>
              <w:lastRenderedPageBreak/>
              <w:t>.097</w:t>
            </w:r>
          </w:p>
        </w:tc>
        <w:tc>
          <w:tcPr>
            <w:tcW w:w="1064" w:type="dxa"/>
            <w:tcBorders>
              <w:tl2br w:val="nil"/>
              <w:tr2bl w:val="nil"/>
            </w:tcBorders>
            <w:vAlign w:val="center"/>
          </w:tcPr>
          <w:p w14:paraId="0D5D69A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设备设施</w:t>
            </w:r>
            <w:r w:rsidRPr="00EF4836">
              <w:rPr>
                <w:rFonts w:ascii="仿宋_GB2312" w:eastAsia="仿宋_GB2312" w:hAnsi="仿宋_GB2312" w:cs="仿宋_GB2312" w:hint="eastAsia"/>
                <w:color w:val="000000"/>
                <w:sz w:val="20"/>
                <w:szCs w:val="20"/>
              </w:rPr>
              <w:lastRenderedPageBreak/>
              <w:t>及物料类</w:t>
            </w:r>
          </w:p>
        </w:tc>
        <w:tc>
          <w:tcPr>
            <w:tcW w:w="1089" w:type="dxa"/>
            <w:tcBorders>
              <w:tl2br w:val="nil"/>
              <w:tr2bl w:val="nil"/>
            </w:tcBorders>
            <w:vAlign w:val="center"/>
          </w:tcPr>
          <w:p w14:paraId="53ABAA80"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其他设备</w:t>
            </w:r>
            <w:r w:rsidRPr="00EF4836">
              <w:rPr>
                <w:rFonts w:ascii="仿宋_GB2312" w:eastAsia="仿宋_GB2312" w:hAnsi="仿宋_GB2312" w:cs="仿宋_GB2312" w:hint="eastAsia"/>
                <w:color w:val="000000"/>
                <w:sz w:val="20"/>
                <w:szCs w:val="20"/>
              </w:rPr>
              <w:lastRenderedPageBreak/>
              <w:t>设施类</w:t>
            </w:r>
          </w:p>
        </w:tc>
        <w:tc>
          <w:tcPr>
            <w:tcW w:w="2861" w:type="dxa"/>
            <w:tcBorders>
              <w:tl2br w:val="nil"/>
              <w:tr2bl w:val="nil"/>
            </w:tcBorders>
            <w:vAlign w:val="center"/>
          </w:tcPr>
          <w:p w14:paraId="7BB8C11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设置在建筑物内的气瓶间未设</w:t>
            </w:r>
            <w:r w:rsidRPr="00EF4836">
              <w:rPr>
                <w:rFonts w:ascii="仿宋_GB2312" w:eastAsia="仿宋_GB2312" w:hAnsi="仿宋_GB2312" w:cs="仿宋_GB2312" w:hint="eastAsia"/>
                <w:color w:val="000000"/>
                <w:sz w:val="20"/>
                <w:szCs w:val="20"/>
              </w:rPr>
              <w:lastRenderedPageBreak/>
              <w:t>通风设施，可能散发易燃气体的气瓶间未设置防爆型通风设施。</w:t>
            </w:r>
            <w:proofErr w:type="gramStart"/>
            <w:r w:rsidRPr="00EF4836">
              <w:rPr>
                <w:rFonts w:ascii="仿宋_GB2312" w:eastAsia="仿宋_GB2312" w:hAnsi="仿宋_GB2312" w:cs="仿宋_GB2312" w:hint="eastAsia"/>
                <w:color w:val="000000"/>
                <w:sz w:val="20"/>
                <w:szCs w:val="20"/>
              </w:rPr>
              <w:t>存可能</w:t>
            </w:r>
            <w:proofErr w:type="gramEnd"/>
            <w:r w:rsidRPr="00EF4836">
              <w:rPr>
                <w:rFonts w:ascii="仿宋_GB2312" w:eastAsia="仿宋_GB2312" w:hAnsi="仿宋_GB2312" w:cs="仿宋_GB2312" w:hint="eastAsia"/>
                <w:color w:val="000000"/>
                <w:sz w:val="20"/>
                <w:szCs w:val="20"/>
              </w:rPr>
              <w:t>散发易燃、毒性气体或</w:t>
            </w:r>
            <w:proofErr w:type="gramStart"/>
            <w:r w:rsidRPr="00EF4836">
              <w:rPr>
                <w:rFonts w:ascii="仿宋_GB2312" w:eastAsia="仿宋_GB2312" w:hAnsi="仿宋_GB2312" w:cs="仿宋_GB2312" w:hint="eastAsia"/>
                <w:color w:val="000000"/>
                <w:sz w:val="20"/>
                <w:szCs w:val="20"/>
              </w:rPr>
              <w:t>蒸气</w:t>
            </w:r>
            <w:proofErr w:type="gramEnd"/>
            <w:r w:rsidRPr="00EF4836">
              <w:rPr>
                <w:rFonts w:ascii="仿宋_GB2312" w:eastAsia="仿宋_GB2312" w:hAnsi="仿宋_GB2312" w:cs="仿宋_GB2312" w:hint="eastAsia"/>
                <w:color w:val="000000"/>
                <w:sz w:val="20"/>
                <w:szCs w:val="20"/>
              </w:rPr>
              <w:t>气瓶间的机械通风换气次数不符合要求。</w:t>
            </w:r>
          </w:p>
        </w:tc>
        <w:tc>
          <w:tcPr>
            <w:tcW w:w="3889" w:type="dxa"/>
            <w:tcBorders>
              <w:tl2br w:val="nil"/>
              <w:tr2bl w:val="nil"/>
            </w:tcBorders>
            <w:vAlign w:val="center"/>
          </w:tcPr>
          <w:p w14:paraId="79D5AD2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设置在建筑物内的气瓶间应设通风设施，</w:t>
            </w:r>
            <w:r w:rsidRPr="00EF4836">
              <w:rPr>
                <w:rFonts w:ascii="仿宋_GB2312" w:eastAsia="仿宋_GB2312" w:hAnsi="仿宋_GB2312" w:cs="仿宋_GB2312" w:hint="eastAsia"/>
                <w:color w:val="000000"/>
                <w:sz w:val="20"/>
                <w:szCs w:val="20"/>
              </w:rPr>
              <w:lastRenderedPageBreak/>
              <w:t>可能散发易燃气体的气瓶间应设置防爆型通风设施。 储存可能散发易燃、毒性气体或</w:t>
            </w:r>
            <w:proofErr w:type="gramStart"/>
            <w:r w:rsidRPr="00EF4836">
              <w:rPr>
                <w:rFonts w:ascii="仿宋_GB2312" w:eastAsia="仿宋_GB2312" w:hAnsi="仿宋_GB2312" w:cs="仿宋_GB2312" w:hint="eastAsia"/>
                <w:color w:val="000000"/>
                <w:sz w:val="20"/>
                <w:szCs w:val="20"/>
              </w:rPr>
              <w:t>蒸气</w:t>
            </w:r>
            <w:proofErr w:type="gramEnd"/>
            <w:r w:rsidRPr="00EF4836">
              <w:rPr>
                <w:rFonts w:ascii="仿宋_GB2312" w:eastAsia="仿宋_GB2312" w:hAnsi="仿宋_GB2312" w:cs="仿宋_GB2312" w:hint="eastAsia"/>
                <w:color w:val="000000"/>
                <w:sz w:val="20"/>
                <w:szCs w:val="20"/>
              </w:rPr>
              <w:t>气瓶间的机械通风正常通风换气次数不少于 6 次/h，事故排风换气次数不应少于12次/h，并应在气瓶间外设置事故通风紧急按钮。存放其他气体的气瓶间正常通风换 气次数应不少于3次/h。</w:t>
            </w:r>
          </w:p>
        </w:tc>
        <w:tc>
          <w:tcPr>
            <w:tcW w:w="3868" w:type="dxa"/>
            <w:tcBorders>
              <w:tl2br w:val="nil"/>
              <w:tr2bl w:val="nil"/>
            </w:tcBorders>
            <w:vAlign w:val="center"/>
          </w:tcPr>
          <w:p w14:paraId="1561C5B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bookmarkStart w:id="2" w:name="_Hlk223120573"/>
            <w:r w:rsidRPr="00EF4836">
              <w:rPr>
                <w:rFonts w:ascii="仿宋_GB2312" w:eastAsia="仿宋_GB2312" w:hAnsi="仿宋_GB2312" w:cs="仿宋_GB2312" w:hint="eastAsia"/>
                <w:color w:val="000000"/>
                <w:sz w:val="20"/>
                <w:szCs w:val="20"/>
              </w:rPr>
              <w:lastRenderedPageBreak/>
              <w:t>《实验室危险化学品安全管理要求 第1部</w:t>
            </w:r>
            <w:r w:rsidRPr="00EF4836">
              <w:rPr>
                <w:rFonts w:ascii="仿宋_GB2312" w:eastAsia="仿宋_GB2312" w:hAnsi="仿宋_GB2312" w:cs="仿宋_GB2312" w:hint="eastAsia"/>
                <w:color w:val="000000"/>
                <w:sz w:val="20"/>
                <w:szCs w:val="20"/>
              </w:rPr>
              <w:lastRenderedPageBreak/>
              <w:t>分：工业企业》（DB11/T 1191.1-2025）第6.3条；</w:t>
            </w:r>
          </w:p>
          <w:p w14:paraId="62EA7E4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1191.3-2024）第6.5.5条</w:t>
            </w:r>
            <w:bookmarkEnd w:id="2"/>
          </w:p>
        </w:tc>
        <w:tc>
          <w:tcPr>
            <w:tcW w:w="376" w:type="dxa"/>
            <w:tcBorders>
              <w:tl2br w:val="nil"/>
              <w:tr2bl w:val="nil"/>
            </w:tcBorders>
          </w:tcPr>
          <w:p w14:paraId="58FC5019"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65BF662C" w14:textId="77777777" w:rsidTr="008351BE">
        <w:trPr>
          <w:trHeight w:val="347"/>
          <w:jc w:val="center"/>
        </w:trPr>
        <w:tc>
          <w:tcPr>
            <w:tcW w:w="971" w:type="dxa"/>
            <w:tcBorders>
              <w:tl2br w:val="nil"/>
              <w:tr2bl w:val="nil"/>
            </w:tcBorders>
            <w:vAlign w:val="center"/>
          </w:tcPr>
          <w:p w14:paraId="3F6D4F5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15.2.09.098</w:t>
            </w:r>
          </w:p>
        </w:tc>
        <w:tc>
          <w:tcPr>
            <w:tcW w:w="1064" w:type="dxa"/>
            <w:tcBorders>
              <w:tl2br w:val="nil"/>
              <w:tr2bl w:val="nil"/>
            </w:tcBorders>
            <w:vAlign w:val="center"/>
          </w:tcPr>
          <w:p w14:paraId="5F88A44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18130712"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监控系统类</w:t>
            </w:r>
          </w:p>
        </w:tc>
        <w:tc>
          <w:tcPr>
            <w:tcW w:w="2861" w:type="dxa"/>
            <w:tcBorders>
              <w:tl2br w:val="nil"/>
              <w:tr2bl w:val="nil"/>
            </w:tcBorders>
            <w:vAlign w:val="center"/>
          </w:tcPr>
          <w:p w14:paraId="2D02F7C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储存有易燃气体的室内气瓶</w:t>
            </w:r>
            <w:proofErr w:type="gramStart"/>
            <w:r w:rsidRPr="00EF4836">
              <w:rPr>
                <w:rFonts w:ascii="仿宋_GB2312" w:eastAsia="仿宋_GB2312" w:hAnsi="仿宋_GB2312" w:cs="仿宋_GB2312" w:hint="eastAsia"/>
                <w:color w:val="000000"/>
                <w:sz w:val="20"/>
                <w:szCs w:val="20"/>
              </w:rPr>
              <w:t>室未整体</w:t>
            </w:r>
            <w:proofErr w:type="gramEnd"/>
            <w:r w:rsidRPr="00EF4836">
              <w:rPr>
                <w:rFonts w:ascii="仿宋_GB2312" w:eastAsia="仿宋_GB2312" w:hAnsi="仿宋_GB2312" w:cs="仿宋_GB2312" w:hint="eastAsia"/>
                <w:color w:val="000000"/>
                <w:sz w:val="20"/>
                <w:szCs w:val="20"/>
              </w:rPr>
              <w:t>防爆；未应按照气体危险区域2区的要求进行防爆电器选型及安装。未安装可燃气体检测报警器，未与防爆风机</w:t>
            </w:r>
            <w:proofErr w:type="gramStart"/>
            <w:r w:rsidRPr="00EF4836">
              <w:rPr>
                <w:rFonts w:ascii="仿宋_GB2312" w:eastAsia="仿宋_GB2312" w:hAnsi="仿宋_GB2312" w:cs="仿宋_GB2312" w:hint="eastAsia"/>
                <w:color w:val="000000"/>
                <w:sz w:val="20"/>
                <w:szCs w:val="20"/>
              </w:rPr>
              <w:t>联锁</w:t>
            </w:r>
            <w:proofErr w:type="gramEnd"/>
            <w:r w:rsidRPr="00EF4836">
              <w:rPr>
                <w:rFonts w:ascii="仿宋_GB2312" w:eastAsia="仿宋_GB2312" w:hAnsi="仿宋_GB2312" w:cs="仿宋_GB2312" w:hint="eastAsia"/>
                <w:color w:val="000000"/>
                <w:sz w:val="20"/>
                <w:szCs w:val="20"/>
              </w:rPr>
              <w:t>。</w:t>
            </w:r>
          </w:p>
        </w:tc>
        <w:tc>
          <w:tcPr>
            <w:tcW w:w="3889" w:type="dxa"/>
            <w:tcBorders>
              <w:tl2br w:val="nil"/>
              <w:tr2bl w:val="nil"/>
            </w:tcBorders>
            <w:vAlign w:val="center"/>
          </w:tcPr>
          <w:p w14:paraId="65E7AC7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（7）储存有易燃气体的室内气瓶室应整体防爆，除经特殊的评估或论证外，至少应按照气体危险区域2区的要求进行防爆电器选型及安装。应安装可燃气体检测报警器并与防爆风机</w:t>
            </w:r>
            <w:proofErr w:type="gramStart"/>
            <w:r w:rsidRPr="00EF4836">
              <w:rPr>
                <w:rFonts w:ascii="仿宋_GB2312" w:eastAsia="仿宋_GB2312" w:hAnsi="仿宋_GB2312" w:cs="仿宋_GB2312" w:hint="eastAsia"/>
                <w:color w:val="000000"/>
                <w:sz w:val="20"/>
                <w:szCs w:val="20"/>
              </w:rPr>
              <w:t>联锁</w:t>
            </w:r>
            <w:proofErr w:type="gramEnd"/>
            <w:r w:rsidRPr="00EF4836">
              <w:rPr>
                <w:rFonts w:ascii="仿宋_GB2312" w:eastAsia="仿宋_GB2312" w:hAnsi="仿宋_GB2312" w:cs="仿宋_GB2312" w:hint="eastAsia"/>
                <w:color w:val="000000"/>
                <w:sz w:val="20"/>
                <w:szCs w:val="20"/>
              </w:rPr>
              <w:t>。</w:t>
            </w:r>
          </w:p>
        </w:tc>
        <w:tc>
          <w:tcPr>
            <w:tcW w:w="3868" w:type="dxa"/>
            <w:tcBorders>
              <w:tl2br w:val="nil"/>
              <w:tr2bl w:val="nil"/>
            </w:tcBorders>
          </w:tcPr>
          <w:p w14:paraId="03D0F72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1191.3-2024）第6.5.1条</w:t>
            </w:r>
          </w:p>
        </w:tc>
        <w:tc>
          <w:tcPr>
            <w:tcW w:w="376" w:type="dxa"/>
            <w:tcBorders>
              <w:tl2br w:val="nil"/>
              <w:tr2bl w:val="nil"/>
            </w:tcBorders>
          </w:tcPr>
          <w:p w14:paraId="02A742EE"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27BA5E74" w14:textId="77777777" w:rsidTr="008351BE">
        <w:trPr>
          <w:trHeight w:val="347"/>
          <w:jc w:val="center"/>
        </w:trPr>
        <w:tc>
          <w:tcPr>
            <w:tcW w:w="971" w:type="dxa"/>
            <w:tcBorders>
              <w:tl2br w:val="nil"/>
              <w:tr2bl w:val="nil"/>
            </w:tcBorders>
            <w:vAlign w:val="center"/>
          </w:tcPr>
          <w:p w14:paraId="7ABF8B4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15.2.09.099</w:t>
            </w:r>
          </w:p>
        </w:tc>
        <w:tc>
          <w:tcPr>
            <w:tcW w:w="1064" w:type="dxa"/>
            <w:tcBorders>
              <w:tl2br w:val="nil"/>
              <w:tr2bl w:val="nil"/>
            </w:tcBorders>
            <w:vAlign w:val="center"/>
          </w:tcPr>
          <w:p w14:paraId="214F768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00837244"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监控系统类</w:t>
            </w:r>
          </w:p>
        </w:tc>
        <w:tc>
          <w:tcPr>
            <w:tcW w:w="2861" w:type="dxa"/>
            <w:tcBorders>
              <w:tl2br w:val="nil"/>
              <w:tr2bl w:val="nil"/>
            </w:tcBorders>
            <w:vAlign w:val="center"/>
          </w:tcPr>
          <w:p w14:paraId="4DC33DE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储存有惰性气体的室内气瓶室，未设置氧含量浓度检测报警器。</w:t>
            </w:r>
          </w:p>
        </w:tc>
        <w:tc>
          <w:tcPr>
            <w:tcW w:w="3889" w:type="dxa"/>
            <w:tcBorders>
              <w:tl2br w:val="nil"/>
              <w:tr2bl w:val="nil"/>
            </w:tcBorders>
            <w:vAlign w:val="center"/>
          </w:tcPr>
          <w:p w14:paraId="562B487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储存有惰性气体的室内气瓶室，应设置氧含量浓度检测报警器。</w:t>
            </w:r>
          </w:p>
        </w:tc>
        <w:tc>
          <w:tcPr>
            <w:tcW w:w="3868" w:type="dxa"/>
            <w:tcBorders>
              <w:tl2br w:val="nil"/>
              <w:tr2bl w:val="nil"/>
            </w:tcBorders>
          </w:tcPr>
          <w:p w14:paraId="55872E2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1191.1-2025）第6，1条</w:t>
            </w:r>
          </w:p>
        </w:tc>
        <w:tc>
          <w:tcPr>
            <w:tcW w:w="376" w:type="dxa"/>
            <w:tcBorders>
              <w:tl2br w:val="nil"/>
              <w:tr2bl w:val="nil"/>
            </w:tcBorders>
          </w:tcPr>
          <w:p w14:paraId="3E0382B6"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0350A5E9" w14:textId="77777777" w:rsidTr="008351BE">
        <w:trPr>
          <w:trHeight w:val="347"/>
          <w:jc w:val="center"/>
        </w:trPr>
        <w:tc>
          <w:tcPr>
            <w:tcW w:w="971" w:type="dxa"/>
            <w:tcBorders>
              <w:tl2br w:val="nil"/>
              <w:tr2bl w:val="nil"/>
            </w:tcBorders>
            <w:vAlign w:val="center"/>
          </w:tcPr>
          <w:p w14:paraId="33C655E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15.2.03.100</w:t>
            </w:r>
          </w:p>
        </w:tc>
        <w:tc>
          <w:tcPr>
            <w:tcW w:w="1064" w:type="dxa"/>
            <w:tcBorders>
              <w:tl2br w:val="nil"/>
              <w:tr2bl w:val="nil"/>
            </w:tcBorders>
            <w:vAlign w:val="center"/>
          </w:tcPr>
          <w:p w14:paraId="5ADAE0AD"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19EA318E"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辅助系统设备设施类</w:t>
            </w:r>
          </w:p>
        </w:tc>
        <w:tc>
          <w:tcPr>
            <w:tcW w:w="2861" w:type="dxa"/>
            <w:tcBorders>
              <w:tl2br w:val="nil"/>
              <w:tr2bl w:val="nil"/>
            </w:tcBorders>
            <w:vAlign w:val="center"/>
          </w:tcPr>
          <w:p w14:paraId="487BCCD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气瓶存放时未直立固定，未配戴</w:t>
            </w:r>
            <w:proofErr w:type="gramStart"/>
            <w:r w:rsidRPr="00EF4836">
              <w:rPr>
                <w:rFonts w:ascii="仿宋_GB2312" w:eastAsia="仿宋_GB2312" w:hAnsi="仿宋_GB2312" w:cs="仿宋_GB2312" w:hint="eastAsia"/>
                <w:color w:val="000000"/>
                <w:sz w:val="20"/>
                <w:szCs w:val="20"/>
              </w:rPr>
              <w:t>好瓶帽</w:t>
            </w:r>
            <w:proofErr w:type="gramEnd"/>
            <w:r w:rsidRPr="00EF4836">
              <w:rPr>
                <w:rFonts w:ascii="仿宋_GB2312" w:eastAsia="仿宋_GB2312" w:hAnsi="仿宋_GB2312" w:cs="仿宋_GB2312" w:hint="eastAsia"/>
                <w:color w:val="000000"/>
                <w:sz w:val="20"/>
                <w:szCs w:val="20"/>
              </w:rPr>
              <w:t>（有防护罩的气瓶除外），</w:t>
            </w:r>
            <w:proofErr w:type="gramStart"/>
            <w:r w:rsidRPr="00EF4836">
              <w:rPr>
                <w:rFonts w:ascii="仿宋_GB2312" w:eastAsia="仿宋_GB2312" w:hAnsi="仿宋_GB2312" w:cs="仿宋_GB2312" w:hint="eastAsia"/>
                <w:color w:val="000000"/>
                <w:sz w:val="20"/>
                <w:szCs w:val="20"/>
              </w:rPr>
              <w:t>未套防震</w:t>
            </w:r>
            <w:proofErr w:type="gramEnd"/>
            <w:r w:rsidRPr="00EF4836">
              <w:rPr>
                <w:rFonts w:ascii="仿宋_GB2312" w:eastAsia="仿宋_GB2312" w:hAnsi="仿宋_GB2312" w:cs="仿宋_GB2312" w:hint="eastAsia"/>
                <w:color w:val="000000"/>
                <w:sz w:val="20"/>
                <w:szCs w:val="20"/>
              </w:rPr>
              <w:t>圈。</w:t>
            </w:r>
          </w:p>
        </w:tc>
        <w:tc>
          <w:tcPr>
            <w:tcW w:w="3889" w:type="dxa"/>
            <w:tcBorders>
              <w:tl2br w:val="nil"/>
              <w:tr2bl w:val="nil"/>
            </w:tcBorders>
            <w:vAlign w:val="center"/>
          </w:tcPr>
          <w:p w14:paraId="506ED73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气瓶存放时应牢固地直立并固定，配戴</w:t>
            </w:r>
            <w:proofErr w:type="gramStart"/>
            <w:r w:rsidRPr="00EF4836">
              <w:rPr>
                <w:rFonts w:ascii="仿宋_GB2312" w:eastAsia="仿宋_GB2312" w:hAnsi="仿宋_GB2312" w:cs="仿宋_GB2312" w:hint="eastAsia"/>
                <w:color w:val="000000"/>
                <w:sz w:val="20"/>
                <w:szCs w:val="20"/>
              </w:rPr>
              <w:t>好瓶帽</w:t>
            </w:r>
            <w:proofErr w:type="gramEnd"/>
            <w:r w:rsidRPr="00EF4836">
              <w:rPr>
                <w:rFonts w:ascii="仿宋_GB2312" w:eastAsia="仿宋_GB2312" w:hAnsi="仿宋_GB2312" w:cs="仿宋_GB2312" w:hint="eastAsia"/>
                <w:color w:val="000000"/>
                <w:sz w:val="20"/>
                <w:szCs w:val="20"/>
              </w:rPr>
              <w:t>（有防护罩的气瓶除外），套好防震圈。</w:t>
            </w:r>
          </w:p>
        </w:tc>
        <w:tc>
          <w:tcPr>
            <w:tcW w:w="3868" w:type="dxa"/>
            <w:tcBorders>
              <w:tl2br w:val="nil"/>
              <w:tr2bl w:val="nil"/>
            </w:tcBorders>
            <w:vAlign w:val="center"/>
          </w:tcPr>
          <w:p w14:paraId="4742EA7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《气瓶安全技术规程》（TSG 23-2021）第8.6.9条;</w:t>
            </w:r>
          </w:p>
          <w:p w14:paraId="6D28B0E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1191.1-2025）第7.5.4条</w:t>
            </w:r>
          </w:p>
        </w:tc>
        <w:tc>
          <w:tcPr>
            <w:tcW w:w="376" w:type="dxa"/>
            <w:tcBorders>
              <w:tl2br w:val="nil"/>
              <w:tr2bl w:val="nil"/>
            </w:tcBorders>
          </w:tcPr>
          <w:p w14:paraId="4D16EB60"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506530A6" w14:textId="77777777" w:rsidTr="008351BE">
        <w:trPr>
          <w:trHeight w:val="347"/>
          <w:jc w:val="center"/>
        </w:trPr>
        <w:tc>
          <w:tcPr>
            <w:tcW w:w="971" w:type="dxa"/>
            <w:tcBorders>
              <w:tl2br w:val="nil"/>
              <w:tr2bl w:val="nil"/>
            </w:tcBorders>
            <w:vAlign w:val="center"/>
          </w:tcPr>
          <w:p w14:paraId="47F97B90"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15.2.03.101</w:t>
            </w:r>
          </w:p>
        </w:tc>
        <w:tc>
          <w:tcPr>
            <w:tcW w:w="1064" w:type="dxa"/>
            <w:tcBorders>
              <w:tl2br w:val="nil"/>
              <w:tr2bl w:val="nil"/>
            </w:tcBorders>
            <w:vAlign w:val="center"/>
          </w:tcPr>
          <w:p w14:paraId="49062BB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0CC6F0C2"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辅助系统设备设施类</w:t>
            </w:r>
          </w:p>
        </w:tc>
        <w:tc>
          <w:tcPr>
            <w:tcW w:w="2861" w:type="dxa"/>
            <w:tcBorders>
              <w:tl2br w:val="nil"/>
              <w:tr2bl w:val="nil"/>
            </w:tcBorders>
            <w:vAlign w:val="center"/>
          </w:tcPr>
          <w:p w14:paraId="470EF29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气瓶混存混放，未分类、分区存放，可燃性和氧化性的气体未分室存放；</w:t>
            </w:r>
          </w:p>
          <w:p w14:paraId="237D092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有毒气体气瓶以及瓶内气体相互接触能引起燃烧、爆炸、产生毒物的禁忌类气瓶，未分室存放。</w:t>
            </w:r>
          </w:p>
          <w:p w14:paraId="0ED4306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空瓶、实瓶与不合格未分区存放，安全距离小于1.5m，并无明显分区标识。</w:t>
            </w:r>
          </w:p>
        </w:tc>
        <w:tc>
          <w:tcPr>
            <w:tcW w:w="3889" w:type="dxa"/>
            <w:tcBorders>
              <w:tl2br w:val="nil"/>
              <w:tr2bl w:val="nil"/>
            </w:tcBorders>
            <w:vAlign w:val="center"/>
          </w:tcPr>
          <w:p w14:paraId="7D50903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气瓶应分类、分区存放，可燃性和氧化性的气体应分室存放；</w:t>
            </w:r>
          </w:p>
          <w:p w14:paraId="16BA6B4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有毒气体气瓶以及瓶内气体相互接触能引起燃烧、爆炸、产生毒物的禁忌类气瓶，应分室存放。</w:t>
            </w:r>
          </w:p>
          <w:p w14:paraId="08B3154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未按标准规范要求分区分类储存危险化学品；超量、</w:t>
            </w:r>
            <w:proofErr w:type="gramStart"/>
            <w:r w:rsidRPr="00EF4836">
              <w:rPr>
                <w:rFonts w:ascii="仿宋_GB2312" w:eastAsia="仿宋_GB2312" w:hAnsi="仿宋_GB2312" w:cs="仿宋_GB2312" w:hint="eastAsia"/>
                <w:color w:val="000000"/>
                <w:sz w:val="20"/>
                <w:szCs w:val="20"/>
              </w:rPr>
              <w:t>超品种</w:t>
            </w:r>
            <w:proofErr w:type="gramEnd"/>
            <w:r w:rsidRPr="00EF4836">
              <w:rPr>
                <w:rFonts w:ascii="仿宋_GB2312" w:eastAsia="仿宋_GB2312" w:hAnsi="仿宋_GB2312" w:cs="仿宋_GB2312" w:hint="eastAsia"/>
                <w:color w:val="000000"/>
                <w:sz w:val="20"/>
                <w:szCs w:val="20"/>
              </w:rPr>
              <w:t>储存危险化学品；相互</w:t>
            </w:r>
            <w:proofErr w:type="gramStart"/>
            <w:r w:rsidRPr="00EF4836">
              <w:rPr>
                <w:rFonts w:ascii="仿宋_GB2312" w:eastAsia="仿宋_GB2312" w:hAnsi="仿宋_GB2312" w:cs="仿宋_GB2312" w:hint="eastAsia"/>
                <w:color w:val="000000"/>
                <w:sz w:val="20"/>
                <w:szCs w:val="20"/>
              </w:rPr>
              <w:t>禁</w:t>
            </w:r>
            <w:r w:rsidRPr="00EF4836">
              <w:rPr>
                <w:rFonts w:ascii="仿宋_GB2312" w:eastAsia="仿宋_GB2312" w:hAnsi="仿宋_GB2312" w:cs="仿宋_GB2312" w:hint="eastAsia"/>
                <w:color w:val="000000"/>
                <w:sz w:val="20"/>
                <w:szCs w:val="20"/>
              </w:rPr>
              <w:lastRenderedPageBreak/>
              <w:t>配物质混</w:t>
            </w:r>
            <w:proofErr w:type="gramEnd"/>
            <w:r w:rsidRPr="00EF4836">
              <w:rPr>
                <w:rFonts w:ascii="仿宋_GB2312" w:eastAsia="仿宋_GB2312" w:hAnsi="仿宋_GB2312" w:cs="仿宋_GB2312" w:hint="eastAsia"/>
                <w:color w:val="000000"/>
                <w:sz w:val="20"/>
                <w:szCs w:val="20"/>
              </w:rPr>
              <w:t>放混存。空瓶、实瓶与不合格应分区存放，安全距离不小于1.5m，并有明显分区标识。</w:t>
            </w:r>
          </w:p>
        </w:tc>
        <w:tc>
          <w:tcPr>
            <w:tcW w:w="3868" w:type="dxa"/>
            <w:tcBorders>
              <w:tl2br w:val="nil"/>
              <w:tr2bl w:val="nil"/>
            </w:tcBorders>
            <w:vAlign w:val="center"/>
          </w:tcPr>
          <w:p w14:paraId="594345D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《化工和危险化学品企业重大生产安全事故隐患判定准则（征求意见稿）》第5.5.8条；</w:t>
            </w:r>
          </w:p>
          <w:p w14:paraId="04DC14A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1191.1-2025）第7.5.5条；</w:t>
            </w:r>
          </w:p>
          <w:p w14:paraId="0A118E6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w:t>
            </w:r>
            <w:r w:rsidRPr="00EF4836">
              <w:rPr>
                <w:rFonts w:ascii="仿宋_GB2312" w:eastAsia="仿宋_GB2312" w:hAnsi="仿宋_GB2312" w:cs="仿宋_GB2312" w:hint="eastAsia"/>
                <w:color w:val="000000"/>
                <w:sz w:val="20"/>
                <w:szCs w:val="20"/>
              </w:rPr>
              <w:lastRenderedPageBreak/>
              <w:t>分：普通高等学校》（DB11/T 1191.2-2025）第6.3.3、6.3.5条；</w:t>
            </w:r>
          </w:p>
          <w:p w14:paraId="5E900A2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1191.3-2024）第7.3.7条；</w:t>
            </w:r>
          </w:p>
        </w:tc>
        <w:tc>
          <w:tcPr>
            <w:tcW w:w="376" w:type="dxa"/>
            <w:tcBorders>
              <w:tl2br w:val="nil"/>
              <w:tr2bl w:val="nil"/>
            </w:tcBorders>
            <w:vAlign w:val="center"/>
          </w:tcPr>
          <w:p w14:paraId="56E2A873"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r w:rsidRPr="00EF4836">
              <w:rPr>
                <w:rFonts w:ascii="仿宋_GB2312" w:eastAsia="仿宋_GB2312" w:hAnsi="仿宋_GB2312" w:cs="仿宋_GB2312" w:hint="eastAsia"/>
                <w:b/>
                <w:color w:val="000000"/>
                <w:kern w:val="0"/>
                <w:sz w:val="20"/>
                <w:szCs w:val="20"/>
              </w:rPr>
              <w:lastRenderedPageBreak/>
              <w:t>★1</w:t>
            </w:r>
          </w:p>
        </w:tc>
      </w:tr>
      <w:tr w:rsidR="00EF4836" w:rsidRPr="00EF4836" w14:paraId="3E1352F3" w14:textId="77777777" w:rsidTr="008351BE">
        <w:trPr>
          <w:trHeight w:val="347"/>
          <w:jc w:val="center"/>
        </w:trPr>
        <w:tc>
          <w:tcPr>
            <w:tcW w:w="971" w:type="dxa"/>
            <w:tcBorders>
              <w:tl2br w:val="nil"/>
              <w:tr2bl w:val="nil"/>
            </w:tcBorders>
            <w:vAlign w:val="center"/>
          </w:tcPr>
          <w:p w14:paraId="55082738"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15.4.03. 102</w:t>
            </w:r>
          </w:p>
        </w:tc>
        <w:tc>
          <w:tcPr>
            <w:tcW w:w="1064" w:type="dxa"/>
            <w:tcBorders>
              <w:tl2br w:val="nil"/>
              <w:tr2bl w:val="nil"/>
            </w:tcBorders>
            <w:vAlign w:val="center"/>
          </w:tcPr>
          <w:p w14:paraId="34D58428"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7E3BD32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标志及标识类</w:t>
            </w:r>
          </w:p>
        </w:tc>
        <w:tc>
          <w:tcPr>
            <w:tcW w:w="2861" w:type="dxa"/>
            <w:tcBorders>
              <w:tl2br w:val="nil"/>
              <w:tr2bl w:val="nil"/>
            </w:tcBorders>
            <w:vAlign w:val="center"/>
          </w:tcPr>
          <w:p w14:paraId="5821BE6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瓶漆色褪色不清晰，安全标签不清楚、完整，气瓶上无气瓶追溯标识。</w:t>
            </w:r>
          </w:p>
        </w:tc>
        <w:tc>
          <w:tcPr>
            <w:tcW w:w="3889" w:type="dxa"/>
            <w:tcBorders>
              <w:tl2br w:val="nil"/>
              <w:tr2bl w:val="nil"/>
            </w:tcBorders>
            <w:vAlign w:val="center"/>
          </w:tcPr>
          <w:p w14:paraId="2192CA9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气瓶漆色应清晰，安全标签应清楚、完整，气瓶上应有符合DB11/T 1530要求的气瓶追溯标识。</w:t>
            </w:r>
          </w:p>
        </w:tc>
        <w:tc>
          <w:tcPr>
            <w:tcW w:w="3868" w:type="dxa"/>
            <w:tcBorders>
              <w:tl2br w:val="nil"/>
              <w:tr2bl w:val="nil"/>
            </w:tcBorders>
            <w:vAlign w:val="center"/>
          </w:tcPr>
          <w:p w14:paraId="1772D3C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1191.1-2025）第4.4.1条；</w:t>
            </w:r>
          </w:p>
          <w:p w14:paraId="2B3359B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1191.2-2025）第7.4.1条；《危险化学品气瓶追溯技术规范》（DB11/T 1530-2018）</w:t>
            </w:r>
          </w:p>
        </w:tc>
        <w:tc>
          <w:tcPr>
            <w:tcW w:w="376" w:type="dxa"/>
            <w:tcBorders>
              <w:tl2br w:val="nil"/>
              <w:tr2bl w:val="nil"/>
            </w:tcBorders>
          </w:tcPr>
          <w:p w14:paraId="6C0605A4"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3418E183" w14:textId="77777777" w:rsidTr="008351BE">
        <w:trPr>
          <w:trHeight w:val="347"/>
          <w:jc w:val="center"/>
        </w:trPr>
        <w:tc>
          <w:tcPr>
            <w:tcW w:w="971" w:type="dxa"/>
            <w:tcBorders>
              <w:tl2br w:val="nil"/>
              <w:tr2bl w:val="nil"/>
            </w:tcBorders>
            <w:vAlign w:val="center"/>
          </w:tcPr>
          <w:p w14:paraId="0661FD30"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15.2.12.103</w:t>
            </w:r>
          </w:p>
        </w:tc>
        <w:tc>
          <w:tcPr>
            <w:tcW w:w="1064" w:type="dxa"/>
            <w:tcBorders>
              <w:tl2br w:val="nil"/>
              <w:tr2bl w:val="nil"/>
            </w:tcBorders>
            <w:vAlign w:val="center"/>
          </w:tcPr>
          <w:p w14:paraId="783AC3C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01764D25"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危险化学品类</w:t>
            </w:r>
          </w:p>
        </w:tc>
        <w:tc>
          <w:tcPr>
            <w:tcW w:w="2861" w:type="dxa"/>
            <w:tcBorders>
              <w:tl2br w:val="nil"/>
              <w:tr2bl w:val="nil"/>
            </w:tcBorders>
            <w:vAlign w:val="center"/>
          </w:tcPr>
          <w:p w14:paraId="327A247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每间气瓶室内，易燃气体存放总量超过36Nm3（如工作压力15MPa时相当于40L的6瓶），非易燃无毒气体存放总量超过60Nm3（如工作压力15MPa时相当于40L的10瓶）。</w:t>
            </w:r>
          </w:p>
        </w:tc>
        <w:tc>
          <w:tcPr>
            <w:tcW w:w="3889" w:type="dxa"/>
            <w:tcBorders>
              <w:tl2br w:val="nil"/>
              <w:tr2bl w:val="nil"/>
            </w:tcBorders>
            <w:vAlign w:val="center"/>
          </w:tcPr>
          <w:p w14:paraId="12D4A5A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每间气瓶室内，易燃气体存放总量不应超过36Nm3（如工作压力15MPa时相当于40L的6瓶），非易燃无毒气体存放总量不应超过60Nm3（如工作压力15MPa时相当于40L的10瓶）。</w:t>
            </w:r>
          </w:p>
        </w:tc>
        <w:tc>
          <w:tcPr>
            <w:tcW w:w="3868" w:type="dxa"/>
            <w:tcBorders>
              <w:tl2br w:val="nil"/>
              <w:tr2bl w:val="nil"/>
            </w:tcBorders>
            <w:vAlign w:val="center"/>
          </w:tcPr>
          <w:p w14:paraId="02E4735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1191.1-2025）第7.5.2条；</w:t>
            </w:r>
          </w:p>
          <w:p w14:paraId="1128B29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1191.2-2025）第6.3.1条；</w:t>
            </w:r>
          </w:p>
          <w:p w14:paraId="615944D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1191.3-2024）第7.3.5条；</w:t>
            </w:r>
          </w:p>
        </w:tc>
        <w:tc>
          <w:tcPr>
            <w:tcW w:w="376" w:type="dxa"/>
            <w:tcBorders>
              <w:tl2br w:val="nil"/>
              <w:tr2bl w:val="nil"/>
            </w:tcBorders>
          </w:tcPr>
          <w:p w14:paraId="38B28804"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60987EA9" w14:textId="77777777" w:rsidTr="008351BE">
        <w:trPr>
          <w:trHeight w:val="347"/>
          <w:jc w:val="center"/>
        </w:trPr>
        <w:tc>
          <w:tcPr>
            <w:tcW w:w="971" w:type="dxa"/>
            <w:tcBorders>
              <w:tl2br w:val="nil"/>
              <w:tr2bl w:val="nil"/>
            </w:tcBorders>
            <w:vAlign w:val="center"/>
          </w:tcPr>
          <w:p w14:paraId="3990332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15.3.02.104</w:t>
            </w:r>
          </w:p>
        </w:tc>
        <w:tc>
          <w:tcPr>
            <w:tcW w:w="1064" w:type="dxa"/>
            <w:tcBorders>
              <w:tl2br w:val="nil"/>
              <w:tr2bl w:val="nil"/>
            </w:tcBorders>
            <w:vAlign w:val="center"/>
          </w:tcPr>
          <w:p w14:paraId="6C086EA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人员类</w:t>
            </w:r>
          </w:p>
        </w:tc>
        <w:tc>
          <w:tcPr>
            <w:tcW w:w="1089" w:type="dxa"/>
            <w:tcBorders>
              <w:tl2br w:val="nil"/>
              <w:tr2bl w:val="nil"/>
            </w:tcBorders>
            <w:vAlign w:val="center"/>
          </w:tcPr>
          <w:p w14:paraId="1A8B1CE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操作行为类</w:t>
            </w:r>
          </w:p>
        </w:tc>
        <w:tc>
          <w:tcPr>
            <w:tcW w:w="2861" w:type="dxa"/>
            <w:tcBorders>
              <w:tl2br w:val="nil"/>
              <w:tr2bl w:val="nil"/>
            </w:tcBorders>
            <w:vAlign w:val="center"/>
          </w:tcPr>
          <w:p w14:paraId="65E057A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超期服役的气瓶未及时退回气瓶销售企业。</w:t>
            </w:r>
          </w:p>
        </w:tc>
        <w:tc>
          <w:tcPr>
            <w:tcW w:w="3889" w:type="dxa"/>
            <w:tcBorders>
              <w:tl2br w:val="nil"/>
              <w:tr2bl w:val="nil"/>
            </w:tcBorders>
            <w:vAlign w:val="center"/>
          </w:tcPr>
          <w:p w14:paraId="6A8E9E8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超期服役的气瓶应及时退回气瓶销售企业。</w:t>
            </w:r>
          </w:p>
        </w:tc>
        <w:tc>
          <w:tcPr>
            <w:tcW w:w="3868" w:type="dxa"/>
            <w:tcBorders>
              <w:tl2br w:val="nil"/>
              <w:tr2bl w:val="nil"/>
            </w:tcBorders>
            <w:vAlign w:val="center"/>
          </w:tcPr>
          <w:p w14:paraId="7C65194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1191.1-2025）第8.2.1条</w:t>
            </w:r>
          </w:p>
          <w:p w14:paraId="4D87B06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1191.2-2025）第6.3.4条</w:t>
            </w:r>
          </w:p>
        </w:tc>
        <w:tc>
          <w:tcPr>
            <w:tcW w:w="376" w:type="dxa"/>
            <w:tcBorders>
              <w:tl2br w:val="nil"/>
              <w:tr2bl w:val="nil"/>
            </w:tcBorders>
          </w:tcPr>
          <w:p w14:paraId="69864F2E"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023F3CCD" w14:textId="77777777" w:rsidTr="008351BE">
        <w:trPr>
          <w:trHeight w:val="347"/>
          <w:jc w:val="center"/>
        </w:trPr>
        <w:tc>
          <w:tcPr>
            <w:tcW w:w="971" w:type="dxa"/>
            <w:tcBorders>
              <w:tl2br w:val="nil"/>
              <w:tr2bl w:val="nil"/>
            </w:tcBorders>
            <w:vAlign w:val="center"/>
          </w:tcPr>
          <w:p w14:paraId="55400943"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15.2.11.105</w:t>
            </w:r>
          </w:p>
        </w:tc>
        <w:tc>
          <w:tcPr>
            <w:tcW w:w="1064" w:type="dxa"/>
            <w:tcBorders>
              <w:tl2br w:val="nil"/>
              <w:tr2bl w:val="nil"/>
            </w:tcBorders>
            <w:vAlign w:val="center"/>
          </w:tcPr>
          <w:p w14:paraId="14B03073"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463F6ED7"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其他设备设施类</w:t>
            </w:r>
          </w:p>
        </w:tc>
        <w:tc>
          <w:tcPr>
            <w:tcW w:w="2861" w:type="dxa"/>
            <w:tcBorders>
              <w:tl2br w:val="nil"/>
              <w:tr2bl w:val="nil"/>
            </w:tcBorders>
            <w:vAlign w:val="center"/>
          </w:tcPr>
          <w:p w14:paraId="0A8BF76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汇流排间与毗连房间之间未采用耐火极限不低于2.0h的无门、窗、洞的</w:t>
            </w:r>
            <w:proofErr w:type="gramStart"/>
            <w:r w:rsidRPr="00EF4836">
              <w:rPr>
                <w:rFonts w:ascii="仿宋_GB2312" w:eastAsia="仿宋_GB2312" w:hAnsi="仿宋_GB2312" w:cs="仿宋_GB2312" w:hint="eastAsia"/>
                <w:color w:val="000000"/>
                <w:sz w:val="20"/>
                <w:szCs w:val="20"/>
              </w:rPr>
              <w:t>不</w:t>
            </w:r>
            <w:proofErr w:type="gramEnd"/>
            <w:r w:rsidRPr="00EF4836">
              <w:rPr>
                <w:rFonts w:ascii="仿宋_GB2312" w:eastAsia="仿宋_GB2312" w:hAnsi="仿宋_GB2312" w:cs="仿宋_GB2312" w:hint="eastAsia"/>
                <w:color w:val="000000"/>
                <w:sz w:val="20"/>
                <w:szCs w:val="20"/>
              </w:rPr>
              <w:t>燃烧体墙体进行分隔，汇流排间与其他区域未以围墙或栅栏进行有效隔离。</w:t>
            </w:r>
          </w:p>
        </w:tc>
        <w:tc>
          <w:tcPr>
            <w:tcW w:w="3889" w:type="dxa"/>
            <w:tcBorders>
              <w:tl2br w:val="nil"/>
              <w:tr2bl w:val="nil"/>
            </w:tcBorders>
            <w:vAlign w:val="center"/>
          </w:tcPr>
          <w:p w14:paraId="369E5D2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汇流排间与毗连房间之间应采用耐火极限不低于2.0h的无门、窗、洞的</w:t>
            </w:r>
            <w:proofErr w:type="gramStart"/>
            <w:r w:rsidRPr="00EF4836">
              <w:rPr>
                <w:rFonts w:ascii="仿宋_GB2312" w:eastAsia="仿宋_GB2312" w:hAnsi="仿宋_GB2312" w:cs="仿宋_GB2312" w:hint="eastAsia"/>
                <w:color w:val="000000"/>
                <w:sz w:val="20"/>
                <w:szCs w:val="20"/>
              </w:rPr>
              <w:t>不</w:t>
            </w:r>
            <w:proofErr w:type="gramEnd"/>
            <w:r w:rsidRPr="00EF4836">
              <w:rPr>
                <w:rFonts w:ascii="仿宋_GB2312" w:eastAsia="仿宋_GB2312" w:hAnsi="仿宋_GB2312" w:cs="仿宋_GB2312" w:hint="eastAsia"/>
                <w:color w:val="000000"/>
                <w:sz w:val="20"/>
                <w:szCs w:val="20"/>
              </w:rPr>
              <w:t>燃烧体墙体进行分隔，汇流排间与其他区域应以围墙或栅栏进行有效隔离。</w:t>
            </w:r>
          </w:p>
        </w:tc>
        <w:tc>
          <w:tcPr>
            <w:tcW w:w="3868" w:type="dxa"/>
            <w:tcBorders>
              <w:tl2br w:val="nil"/>
              <w:tr2bl w:val="nil"/>
            </w:tcBorders>
            <w:vAlign w:val="center"/>
          </w:tcPr>
          <w:p w14:paraId="74690A0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1191.3-2024）第6.8.3条a）</w:t>
            </w:r>
          </w:p>
        </w:tc>
        <w:tc>
          <w:tcPr>
            <w:tcW w:w="376" w:type="dxa"/>
            <w:tcBorders>
              <w:tl2br w:val="nil"/>
              <w:tr2bl w:val="nil"/>
            </w:tcBorders>
          </w:tcPr>
          <w:p w14:paraId="7CB33683"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47662C61" w14:textId="77777777" w:rsidTr="008351BE">
        <w:trPr>
          <w:trHeight w:val="347"/>
          <w:jc w:val="center"/>
        </w:trPr>
        <w:tc>
          <w:tcPr>
            <w:tcW w:w="971" w:type="dxa"/>
            <w:tcBorders>
              <w:tl2br w:val="nil"/>
              <w:tr2bl w:val="nil"/>
            </w:tcBorders>
            <w:vAlign w:val="center"/>
          </w:tcPr>
          <w:p w14:paraId="4F0C25A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15.4.03.106</w:t>
            </w:r>
          </w:p>
        </w:tc>
        <w:tc>
          <w:tcPr>
            <w:tcW w:w="1064" w:type="dxa"/>
            <w:tcBorders>
              <w:tl2br w:val="nil"/>
              <w:tr2bl w:val="nil"/>
            </w:tcBorders>
            <w:vAlign w:val="center"/>
          </w:tcPr>
          <w:p w14:paraId="200DD682"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4DEB0B5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标志及标识类</w:t>
            </w:r>
          </w:p>
        </w:tc>
        <w:tc>
          <w:tcPr>
            <w:tcW w:w="2861" w:type="dxa"/>
            <w:tcBorders>
              <w:tl2br w:val="nil"/>
              <w:tr2bl w:val="nil"/>
            </w:tcBorders>
            <w:vAlign w:val="center"/>
          </w:tcPr>
          <w:p w14:paraId="4D1F322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汇流排间未设置安全标志，包括化学品危险性质的警示标志，禁止、警告、指令、提示等安全标志。</w:t>
            </w:r>
          </w:p>
        </w:tc>
        <w:tc>
          <w:tcPr>
            <w:tcW w:w="3889" w:type="dxa"/>
            <w:tcBorders>
              <w:tl2br w:val="nil"/>
              <w:tr2bl w:val="nil"/>
            </w:tcBorders>
            <w:vAlign w:val="center"/>
          </w:tcPr>
          <w:p w14:paraId="40D4777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汇流排间应设置安全标志，包括化学品危险性质的警示标志，禁止、警告、指令、提示等安全标志。</w:t>
            </w:r>
          </w:p>
        </w:tc>
        <w:tc>
          <w:tcPr>
            <w:tcW w:w="3868" w:type="dxa"/>
            <w:tcBorders>
              <w:tl2br w:val="nil"/>
              <w:tr2bl w:val="nil"/>
            </w:tcBorders>
            <w:vAlign w:val="center"/>
          </w:tcPr>
          <w:p w14:paraId="31F89E0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1191.3-2024）第6.8.3条b）</w:t>
            </w:r>
          </w:p>
        </w:tc>
        <w:tc>
          <w:tcPr>
            <w:tcW w:w="376" w:type="dxa"/>
            <w:tcBorders>
              <w:tl2br w:val="nil"/>
              <w:tr2bl w:val="nil"/>
            </w:tcBorders>
          </w:tcPr>
          <w:p w14:paraId="29D40F92"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27ADBB00" w14:textId="77777777" w:rsidTr="008351BE">
        <w:trPr>
          <w:trHeight w:val="347"/>
          <w:jc w:val="center"/>
        </w:trPr>
        <w:tc>
          <w:tcPr>
            <w:tcW w:w="971" w:type="dxa"/>
            <w:tcBorders>
              <w:tl2br w:val="nil"/>
              <w:tr2bl w:val="nil"/>
            </w:tcBorders>
            <w:vAlign w:val="center"/>
          </w:tcPr>
          <w:p w14:paraId="35C164F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15.4.04.107</w:t>
            </w:r>
          </w:p>
        </w:tc>
        <w:tc>
          <w:tcPr>
            <w:tcW w:w="1064" w:type="dxa"/>
            <w:tcBorders>
              <w:tl2br w:val="nil"/>
              <w:tr2bl w:val="nil"/>
            </w:tcBorders>
            <w:vAlign w:val="center"/>
          </w:tcPr>
          <w:p w14:paraId="574C69B8"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2980A4F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作业环境类</w:t>
            </w:r>
          </w:p>
        </w:tc>
        <w:tc>
          <w:tcPr>
            <w:tcW w:w="2861" w:type="dxa"/>
            <w:tcBorders>
              <w:tl2br w:val="nil"/>
              <w:tr2bl w:val="nil"/>
            </w:tcBorders>
            <w:vAlign w:val="center"/>
          </w:tcPr>
          <w:p w14:paraId="4744770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汇流排间的通风设备未按设计工况选型；将气瓶靠近热源，安放气瓶的地点周围10ｍ范围内有明火或可能产生火花的作业。</w:t>
            </w:r>
          </w:p>
          <w:p w14:paraId="2896702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汇流排间未采取防止阳光直射气瓶的措施。</w:t>
            </w:r>
          </w:p>
        </w:tc>
        <w:tc>
          <w:tcPr>
            <w:tcW w:w="3889" w:type="dxa"/>
            <w:tcBorders>
              <w:tl2br w:val="nil"/>
              <w:tr2bl w:val="nil"/>
            </w:tcBorders>
            <w:vAlign w:val="center"/>
          </w:tcPr>
          <w:p w14:paraId="2E5A502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汇流排间的通风设备应按设计工况选型，防止气瓶意外受热，不应将气瓶靠近热源，安放气瓶的地点周围10ｍ范围内，不应进行有明火或可能产生火花的作业。</w:t>
            </w:r>
          </w:p>
          <w:p w14:paraId="59C0DD6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汇流排间应采取防止阳光直射气瓶的措施。</w:t>
            </w:r>
          </w:p>
        </w:tc>
        <w:tc>
          <w:tcPr>
            <w:tcW w:w="3868" w:type="dxa"/>
            <w:tcBorders>
              <w:tl2br w:val="nil"/>
              <w:tr2bl w:val="nil"/>
            </w:tcBorders>
            <w:vAlign w:val="center"/>
          </w:tcPr>
          <w:p w14:paraId="56FA82F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1191.3-2024）第6.8.3条c）</w:t>
            </w:r>
          </w:p>
        </w:tc>
        <w:tc>
          <w:tcPr>
            <w:tcW w:w="376" w:type="dxa"/>
            <w:tcBorders>
              <w:tl2br w:val="nil"/>
              <w:tr2bl w:val="nil"/>
            </w:tcBorders>
          </w:tcPr>
          <w:p w14:paraId="637F5A07"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0DE345A7" w14:textId="77777777" w:rsidTr="008351BE">
        <w:trPr>
          <w:trHeight w:val="347"/>
          <w:jc w:val="center"/>
        </w:trPr>
        <w:tc>
          <w:tcPr>
            <w:tcW w:w="971" w:type="dxa"/>
            <w:tcBorders>
              <w:tl2br w:val="nil"/>
              <w:tr2bl w:val="nil"/>
            </w:tcBorders>
            <w:vAlign w:val="center"/>
          </w:tcPr>
          <w:p w14:paraId="4EEBBD8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15.2.11.108</w:t>
            </w:r>
          </w:p>
        </w:tc>
        <w:tc>
          <w:tcPr>
            <w:tcW w:w="1064" w:type="dxa"/>
            <w:tcBorders>
              <w:tl2br w:val="nil"/>
              <w:tr2bl w:val="nil"/>
            </w:tcBorders>
            <w:vAlign w:val="center"/>
          </w:tcPr>
          <w:p w14:paraId="44D2A54E"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601C833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其他设备设施类</w:t>
            </w:r>
          </w:p>
        </w:tc>
        <w:tc>
          <w:tcPr>
            <w:tcW w:w="2861" w:type="dxa"/>
            <w:tcBorders>
              <w:tl2br w:val="nil"/>
              <w:tr2bl w:val="nil"/>
            </w:tcBorders>
            <w:vAlign w:val="center"/>
          </w:tcPr>
          <w:p w14:paraId="40E1D12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室内气瓶室未设通风设施，并在气瓶间外未设置事故通风紧急开关。存放剧毒或高毒气体的</w:t>
            </w:r>
            <w:proofErr w:type="gramStart"/>
            <w:r w:rsidRPr="00EF4836">
              <w:rPr>
                <w:rFonts w:ascii="仿宋_GB2312" w:eastAsia="仿宋_GB2312" w:hAnsi="仿宋_GB2312" w:cs="仿宋_GB2312" w:hint="eastAsia"/>
                <w:color w:val="000000"/>
                <w:sz w:val="20"/>
                <w:szCs w:val="20"/>
              </w:rPr>
              <w:t>气瓶柜未连接</w:t>
            </w:r>
            <w:proofErr w:type="gramEnd"/>
            <w:r w:rsidRPr="00EF4836">
              <w:rPr>
                <w:rFonts w:ascii="仿宋_GB2312" w:eastAsia="仿宋_GB2312" w:hAnsi="仿宋_GB2312" w:cs="仿宋_GB2312" w:hint="eastAsia"/>
                <w:color w:val="000000"/>
                <w:sz w:val="20"/>
                <w:szCs w:val="20"/>
              </w:rPr>
              <w:t>到通风设施。</w:t>
            </w:r>
          </w:p>
        </w:tc>
        <w:tc>
          <w:tcPr>
            <w:tcW w:w="3889" w:type="dxa"/>
            <w:tcBorders>
              <w:tl2br w:val="nil"/>
              <w:tr2bl w:val="nil"/>
            </w:tcBorders>
            <w:vAlign w:val="center"/>
          </w:tcPr>
          <w:p w14:paraId="3222BE8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室内气瓶室应设通风设施，并在气瓶间外设置事故通风紧急开关。存放剧毒或高毒气体的气瓶柜应连接到通风设施。</w:t>
            </w:r>
          </w:p>
        </w:tc>
        <w:tc>
          <w:tcPr>
            <w:tcW w:w="3868" w:type="dxa"/>
            <w:tcBorders>
              <w:tl2br w:val="nil"/>
              <w:tr2bl w:val="nil"/>
            </w:tcBorders>
            <w:vAlign w:val="center"/>
          </w:tcPr>
          <w:p w14:paraId="79F3512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1191.1-2025）第6.10条；</w:t>
            </w:r>
          </w:p>
          <w:p w14:paraId="067DFDE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1191.2-2025）第5.2.3条；</w:t>
            </w:r>
          </w:p>
          <w:p w14:paraId="2A8300C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1191.3-2024）第6.5.4条</w:t>
            </w:r>
          </w:p>
        </w:tc>
        <w:tc>
          <w:tcPr>
            <w:tcW w:w="376" w:type="dxa"/>
            <w:tcBorders>
              <w:tl2br w:val="nil"/>
              <w:tr2bl w:val="nil"/>
            </w:tcBorders>
          </w:tcPr>
          <w:p w14:paraId="7EC2AFE8"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40FB3720" w14:textId="77777777" w:rsidTr="008351BE">
        <w:trPr>
          <w:trHeight w:val="493"/>
          <w:jc w:val="center"/>
        </w:trPr>
        <w:tc>
          <w:tcPr>
            <w:tcW w:w="14118" w:type="dxa"/>
            <w:gridSpan w:val="7"/>
            <w:tcBorders>
              <w:tl2br w:val="nil"/>
              <w:tr2bl w:val="nil"/>
            </w:tcBorders>
            <w:shd w:val="clear" w:color="auto" w:fill="95B3D7"/>
            <w:vAlign w:val="center"/>
          </w:tcPr>
          <w:p w14:paraId="62F3E092"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r w:rsidRPr="00EF4836">
              <w:rPr>
                <w:rFonts w:ascii="仿宋_GB2312" w:eastAsia="仿宋_GB2312" w:hAnsi="仿宋_GB2312" w:cs="仿宋_GB2312" w:hint="eastAsia"/>
                <w:b/>
                <w:color w:val="000000"/>
                <w:kern w:val="0"/>
                <w:sz w:val="20"/>
                <w:szCs w:val="20"/>
                <w:lang w:bidi="ar"/>
              </w:rPr>
              <w:t>危险化学品管理与使用</w:t>
            </w:r>
          </w:p>
        </w:tc>
      </w:tr>
      <w:tr w:rsidR="00EF4836" w:rsidRPr="00EF4836" w14:paraId="5A79C89E" w14:textId="77777777" w:rsidTr="008351BE">
        <w:trPr>
          <w:trHeight w:val="347"/>
          <w:jc w:val="center"/>
        </w:trPr>
        <w:tc>
          <w:tcPr>
            <w:tcW w:w="971" w:type="dxa"/>
            <w:tcBorders>
              <w:tl2br w:val="nil"/>
              <w:tr2bl w:val="nil"/>
            </w:tcBorders>
            <w:vAlign w:val="center"/>
          </w:tcPr>
          <w:p w14:paraId="007EAAA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15.3.01.109</w:t>
            </w:r>
          </w:p>
        </w:tc>
        <w:tc>
          <w:tcPr>
            <w:tcW w:w="1064" w:type="dxa"/>
            <w:tcBorders>
              <w:tl2br w:val="nil"/>
              <w:tr2bl w:val="nil"/>
            </w:tcBorders>
            <w:vAlign w:val="center"/>
          </w:tcPr>
          <w:p w14:paraId="1665B55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人员类</w:t>
            </w:r>
          </w:p>
        </w:tc>
        <w:tc>
          <w:tcPr>
            <w:tcW w:w="1089" w:type="dxa"/>
            <w:tcBorders>
              <w:tl2br w:val="nil"/>
              <w:tr2bl w:val="nil"/>
            </w:tcBorders>
            <w:vAlign w:val="center"/>
          </w:tcPr>
          <w:p w14:paraId="56E9A670"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资格资质类</w:t>
            </w:r>
          </w:p>
        </w:tc>
        <w:tc>
          <w:tcPr>
            <w:tcW w:w="2861" w:type="dxa"/>
            <w:tcBorders>
              <w:tl2br w:val="nil"/>
              <w:tr2bl w:val="nil"/>
            </w:tcBorders>
            <w:vAlign w:val="center"/>
          </w:tcPr>
          <w:p w14:paraId="5CA2FD0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向不具有危险化学品生产、经营资质的单位采购危险化学品。</w:t>
            </w:r>
          </w:p>
        </w:tc>
        <w:tc>
          <w:tcPr>
            <w:tcW w:w="3889" w:type="dxa"/>
            <w:tcBorders>
              <w:tl2br w:val="nil"/>
              <w:tr2bl w:val="nil"/>
            </w:tcBorders>
            <w:vAlign w:val="center"/>
          </w:tcPr>
          <w:p w14:paraId="73D0D72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应向具有危险化学品生产、经营资质的单位采购危险化学品。</w:t>
            </w:r>
          </w:p>
        </w:tc>
        <w:tc>
          <w:tcPr>
            <w:tcW w:w="3868" w:type="dxa"/>
            <w:tcBorders>
              <w:tl2br w:val="nil"/>
              <w:tr2bl w:val="nil"/>
            </w:tcBorders>
            <w:vAlign w:val="center"/>
          </w:tcPr>
          <w:p w14:paraId="2DDA80B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1191.1-2025）第8.1.1条；</w:t>
            </w:r>
          </w:p>
        </w:tc>
        <w:tc>
          <w:tcPr>
            <w:tcW w:w="376" w:type="dxa"/>
            <w:tcBorders>
              <w:tl2br w:val="nil"/>
              <w:tr2bl w:val="nil"/>
            </w:tcBorders>
          </w:tcPr>
          <w:p w14:paraId="32895B21"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4291CA99" w14:textId="77777777" w:rsidTr="008351BE">
        <w:trPr>
          <w:trHeight w:val="347"/>
          <w:jc w:val="center"/>
        </w:trPr>
        <w:tc>
          <w:tcPr>
            <w:tcW w:w="971" w:type="dxa"/>
            <w:tcBorders>
              <w:tl2br w:val="nil"/>
              <w:tr2bl w:val="nil"/>
            </w:tcBorders>
            <w:vAlign w:val="center"/>
          </w:tcPr>
          <w:p w14:paraId="0D12481E"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15.4.03.110</w:t>
            </w:r>
          </w:p>
        </w:tc>
        <w:tc>
          <w:tcPr>
            <w:tcW w:w="1064" w:type="dxa"/>
            <w:tcBorders>
              <w:tl2br w:val="nil"/>
              <w:tr2bl w:val="nil"/>
            </w:tcBorders>
            <w:vAlign w:val="center"/>
          </w:tcPr>
          <w:p w14:paraId="11655DE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78D00077"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标志及标识类</w:t>
            </w:r>
          </w:p>
        </w:tc>
        <w:tc>
          <w:tcPr>
            <w:tcW w:w="2861" w:type="dxa"/>
            <w:tcBorders>
              <w:tl2br w:val="nil"/>
              <w:tr2bl w:val="nil"/>
            </w:tcBorders>
            <w:vAlign w:val="center"/>
          </w:tcPr>
          <w:p w14:paraId="5EAED31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购买未粘贴北京市危险化学品追溯标签的带包装危险化学品。</w:t>
            </w:r>
          </w:p>
        </w:tc>
        <w:tc>
          <w:tcPr>
            <w:tcW w:w="3889" w:type="dxa"/>
            <w:tcBorders>
              <w:tl2br w:val="nil"/>
              <w:tr2bl w:val="nil"/>
            </w:tcBorders>
            <w:vAlign w:val="center"/>
          </w:tcPr>
          <w:p w14:paraId="73E5B90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应购买粘贴有北京市危险化学品追溯标签的带包装危险化学品。</w:t>
            </w:r>
          </w:p>
        </w:tc>
        <w:tc>
          <w:tcPr>
            <w:tcW w:w="3868" w:type="dxa"/>
            <w:tcBorders>
              <w:tl2br w:val="nil"/>
              <w:tr2bl w:val="nil"/>
            </w:tcBorders>
            <w:vAlign w:val="center"/>
          </w:tcPr>
          <w:p w14:paraId="4EF7416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1191.1-2025）第8.1.2条；</w:t>
            </w:r>
          </w:p>
          <w:p w14:paraId="7E9568A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1191.2-2025）第7.3.1条；</w:t>
            </w:r>
          </w:p>
        </w:tc>
        <w:tc>
          <w:tcPr>
            <w:tcW w:w="376" w:type="dxa"/>
            <w:tcBorders>
              <w:tl2br w:val="nil"/>
              <w:tr2bl w:val="nil"/>
            </w:tcBorders>
          </w:tcPr>
          <w:p w14:paraId="44DBE29F"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6D976718" w14:textId="77777777" w:rsidTr="008351BE">
        <w:trPr>
          <w:trHeight w:val="347"/>
          <w:jc w:val="center"/>
        </w:trPr>
        <w:tc>
          <w:tcPr>
            <w:tcW w:w="971" w:type="dxa"/>
            <w:tcBorders>
              <w:tl2br w:val="nil"/>
              <w:tr2bl w:val="nil"/>
            </w:tcBorders>
            <w:vAlign w:val="center"/>
          </w:tcPr>
          <w:p w14:paraId="6E162B7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15.3.02.111</w:t>
            </w:r>
          </w:p>
        </w:tc>
        <w:tc>
          <w:tcPr>
            <w:tcW w:w="1064" w:type="dxa"/>
            <w:tcBorders>
              <w:tl2br w:val="nil"/>
              <w:tr2bl w:val="nil"/>
            </w:tcBorders>
            <w:vAlign w:val="center"/>
          </w:tcPr>
          <w:p w14:paraId="638D826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人员类</w:t>
            </w:r>
          </w:p>
        </w:tc>
        <w:tc>
          <w:tcPr>
            <w:tcW w:w="1089" w:type="dxa"/>
            <w:tcBorders>
              <w:tl2br w:val="nil"/>
              <w:tr2bl w:val="nil"/>
            </w:tcBorders>
            <w:vAlign w:val="center"/>
          </w:tcPr>
          <w:p w14:paraId="46D0F9C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操作行为类</w:t>
            </w:r>
          </w:p>
        </w:tc>
        <w:tc>
          <w:tcPr>
            <w:tcW w:w="2861" w:type="dxa"/>
            <w:tcBorders>
              <w:tl2br w:val="nil"/>
              <w:tr2bl w:val="nil"/>
            </w:tcBorders>
            <w:vAlign w:val="center"/>
          </w:tcPr>
          <w:p w14:paraId="5A0BC00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危险化学品有效期及气瓶检验有效期过期，未坚持先入先出的原则。</w:t>
            </w:r>
          </w:p>
        </w:tc>
        <w:tc>
          <w:tcPr>
            <w:tcW w:w="3889" w:type="dxa"/>
            <w:tcBorders>
              <w:tl2br w:val="nil"/>
              <w:tr2bl w:val="nil"/>
            </w:tcBorders>
            <w:vAlign w:val="center"/>
          </w:tcPr>
          <w:p w14:paraId="0FD3B4B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应注意危险化学品有效期及气瓶检验有效期，并坚持先入先出的原则。</w:t>
            </w:r>
          </w:p>
        </w:tc>
        <w:tc>
          <w:tcPr>
            <w:tcW w:w="3868" w:type="dxa"/>
            <w:tcBorders>
              <w:tl2br w:val="nil"/>
              <w:tr2bl w:val="nil"/>
            </w:tcBorders>
            <w:vAlign w:val="center"/>
          </w:tcPr>
          <w:p w14:paraId="47C8FCA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1191.1-2025）第8.2.1条</w:t>
            </w:r>
          </w:p>
        </w:tc>
        <w:tc>
          <w:tcPr>
            <w:tcW w:w="376" w:type="dxa"/>
            <w:tcBorders>
              <w:tl2br w:val="nil"/>
              <w:tr2bl w:val="nil"/>
            </w:tcBorders>
          </w:tcPr>
          <w:p w14:paraId="0491EF56"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48BCEBCE" w14:textId="77777777" w:rsidTr="008351BE">
        <w:trPr>
          <w:trHeight w:val="347"/>
          <w:jc w:val="center"/>
        </w:trPr>
        <w:tc>
          <w:tcPr>
            <w:tcW w:w="971" w:type="dxa"/>
            <w:tcBorders>
              <w:tl2br w:val="nil"/>
              <w:tr2bl w:val="nil"/>
            </w:tcBorders>
            <w:vAlign w:val="center"/>
          </w:tcPr>
          <w:p w14:paraId="645AEE0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15.3.02.112</w:t>
            </w:r>
          </w:p>
        </w:tc>
        <w:tc>
          <w:tcPr>
            <w:tcW w:w="1064" w:type="dxa"/>
            <w:tcBorders>
              <w:tl2br w:val="nil"/>
              <w:tr2bl w:val="nil"/>
            </w:tcBorders>
            <w:vAlign w:val="center"/>
          </w:tcPr>
          <w:p w14:paraId="0F6AEC3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人员类</w:t>
            </w:r>
          </w:p>
        </w:tc>
        <w:tc>
          <w:tcPr>
            <w:tcW w:w="1089" w:type="dxa"/>
            <w:tcBorders>
              <w:tl2br w:val="nil"/>
              <w:tr2bl w:val="nil"/>
            </w:tcBorders>
            <w:vAlign w:val="center"/>
          </w:tcPr>
          <w:p w14:paraId="13F5F4F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操作行为类</w:t>
            </w:r>
          </w:p>
        </w:tc>
        <w:tc>
          <w:tcPr>
            <w:tcW w:w="2861" w:type="dxa"/>
            <w:tcBorders>
              <w:tl2br w:val="nil"/>
              <w:tr2bl w:val="nil"/>
            </w:tcBorders>
            <w:vAlign w:val="center"/>
          </w:tcPr>
          <w:p w14:paraId="5DC39DE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危险化学品无领用记录，包括的内容不全；发放无专人负责，未根据实际需要最低数量发放，未填写发放记录。</w:t>
            </w:r>
          </w:p>
        </w:tc>
        <w:tc>
          <w:tcPr>
            <w:tcW w:w="3889" w:type="dxa"/>
            <w:tcBorders>
              <w:tl2br w:val="nil"/>
              <w:tr2bl w:val="nil"/>
            </w:tcBorders>
            <w:vAlign w:val="center"/>
          </w:tcPr>
          <w:p w14:paraId="348D1ED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危险化学品应有领用记录，应包括以下内容：品种、规格、发放、退回日期、部门及 经办人、数量以及结存数量和存放地点等。发放应有专人负责，并根据实际需要最低数量发放，并填写发放记录。</w:t>
            </w:r>
          </w:p>
        </w:tc>
        <w:tc>
          <w:tcPr>
            <w:tcW w:w="3868" w:type="dxa"/>
            <w:tcBorders>
              <w:tl2br w:val="nil"/>
              <w:tr2bl w:val="nil"/>
            </w:tcBorders>
            <w:vAlign w:val="center"/>
          </w:tcPr>
          <w:p w14:paraId="24E46D2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1191.1-2025）第8.2.2条；</w:t>
            </w:r>
          </w:p>
          <w:p w14:paraId="6A3D401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1191.3-2024）第7.4.1、7.4.3条</w:t>
            </w:r>
          </w:p>
        </w:tc>
        <w:tc>
          <w:tcPr>
            <w:tcW w:w="376" w:type="dxa"/>
            <w:tcBorders>
              <w:tl2br w:val="nil"/>
              <w:tr2bl w:val="nil"/>
            </w:tcBorders>
          </w:tcPr>
          <w:p w14:paraId="4AD0D660"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02D737C0" w14:textId="77777777" w:rsidTr="008351BE">
        <w:trPr>
          <w:trHeight w:val="347"/>
          <w:jc w:val="center"/>
        </w:trPr>
        <w:tc>
          <w:tcPr>
            <w:tcW w:w="971" w:type="dxa"/>
            <w:tcBorders>
              <w:tl2br w:val="nil"/>
              <w:tr2bl w:val="nil"/>
            </w:tcBorders>
            <w:vAlign w:val="center"/>
          </w:tcPr>
          <w:p w14:paraId="12AF09E4"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15.3.02.113</w:t>
            </w:r>
          </w:p>
        </w:tc>
        <w:tc>
          <w:tcPr>
            <w:tcW w:w="1064" w:type="dxa"/>
            <w:tcBorders>
              <w:tl2br w:val="nil"/>
              <w:tr2bl w:val="nil"/>
            </w:tcBorders>
            <w:vAlign w:val="center"/>
          </w:tcPr>
          <w:p w14:paraId="601B3150"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人员类</w:t>
            </w:r>
          </w:p>
        </w:tc>
        <w:tc>
          <w:tcPr>
            <w:tcW w:w="1089" w:type="dxa"/>
            <w:tcBorders>
              <w:tl2br w:val="nil"/>
              <w:tr2bl w:val="nil"/>
            </w:tcBorders>
            <w:vAlign w:val="center"/>
          </w:tcPr>
          <w:p w14:paraId="0E3FC0D4"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操作行为类</w:t>
            </w:r>
          </w:p>
        </w:tc>
        <w:tc>
          <w:tcPr>
            <w:tcW w:w="2861" w:type="dxa"/>
            <w:tcBorders>
              <w:tl2br w:val="nil"/>
              <w:tr2bl w:val="nil"/>
            </w:tcBorders>
            <w:vAlign w:val="center"/>
          </w:tcPr>
          <w:p w14:paraId="3ED534A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爆炸品、剧毒化学品未由两人领取，领用爆炸品、剧毒化学品时未详细记载用途。剩余未在当日退回，未详细记录退回物品的种类和数量。</w:t>
            </w:r>
          </w:p>
        </w:tc>
        <w:tc>
          <w:tcPr>
            <w:tcW w:w="3889" w:type="dxa"/>
            <w:tcBorders>
              <w:tl2br w:val="nil"/>
              <w:tr2bl w:val="nil"/>
            </w:tcBorders>
            <w:vAlign w:val="center"/>
          </w:tcPr>
          <w:p w14:paraId="1452720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爆炸品、剧毒化学品应由两人领取，领用爆炸品、剧毒化学品时应详细记载用途。如有剩余应在当日退回，并详细记录退回物品的种类和数量。</w:t>
            </w:r>
          </w:p>
        </w:tc>
        <w:tc>
          <w:tcPr>
            <w:tcW w:w="3868" w:type="dxa"/>
            <w:tcBorders>
              <w:tl2br w:val="nil"/>
              <w:tr2bl w:val="nil"/>
            </w:tcBorders>
            <w:vAlign w:val="center"/>
          </w:tcPr>
          <w:p w14:paraId="39EDD56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1191.1-2025）第8.2.3条</w:t>
            </w:r>
          </w:p>
        </w:tc>
        <w:tc>
          <w:tcPr>
            <w:tcW w:w="376" w:type="dxa"/>
            <w:tcBorders>
              <w:tl2br w:val="nil"/>
              <w:tr2bl w:val="nil"/>
            </w:tcBorders>
          </w:tcPr>
          <w:p w14:paraId="741FCBB8"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4A1EA736" w14:textId="77777777" w:rsidTr="008351BE">
        <w:trPr>
          <w:trHeight w:val="347"/>
          <w:jc w:val="center"/>
        </w:trPr>
        <w:tc>
          <w:tcPr>
            <w:tcW w:w="971" w:type="dxa"/>
            <w:tcBorders>
              <w:tl2br w:val="nil"/>
              <w:tr2bl w:val="nil"/>
            </w:tcBorders>
            <w:vAlign w:val="center"/>
          </w:tcPr>
          <w:p w14:paraId="1582756D"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15.3.02.114</w:t>
            </w:r>
          </w:p>
        </w:tc>
        <w:tc>
          <w:tcPr>
            <w:tcW w:w="1064" w:type="dxa"/>
            <w:tcBorders>
              <w:tl2br w:val="nil"/>
              <w:tr2bl w:val="nil"/>
            </w:tcBorders>
            <w:vAlign w:val="center"/>
          </w:tcPr>
          <w:p w14:paraId="48DFA4AD"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人员类</w:t>
            </w:r>
          </w:p>
        </w:tc>
        <w:tc>
          <w:tcPr>
            <w:tcW w:w="1089" w:type="dxa"/>
            <w:tcBorders>
              <w:tl2br w:val="nil"/>
              <w:tr2bl w:val="nil"/>
            </w:tcBorders>
            <w:vAlign w:val="center"/>
          </w:tcPr>
          <w:p w14:paraId="46BD55A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操作行为类</w:t>
            </w:r>
          </w:p>
        </w:tc>
        <w:tc>
          <w:tcPr>
            <w:tcW w:w="2861" w:type="dxa"/>
            <w:tcBorders>
              <w:tl2br w:val="nil"/>
              <w:tr2bl w:val="nil"/>
            </w:tcBorders>
            <w:vAlign w:val="center"/>
          </w:tcPr>
          <w:p w14:paraId="688C4C4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实验采用国家明令淘汰的工艺、装备和禁用的物料。</w:t>
            </w:r>
          </w:p>
        </w:tc>
        <w:tc>
          <w:tcPr>
            <w:tcW w:w="3889" w:type="dxa"/>
            <w:tcBorders>
              <w:tl2br w:val="nil"/>
              <w:tr2bl w:val="nil"/>
            </w:tcBorders>
            <w:vAlign w:val="center"/>
          </w:tcPr>
          <w:p w14:paraId="6956FA6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实验不得采用国家明令淘汰的工艺、装备和禁用的物料。</w:t>
            </w:r>
          </w:p>
        </w:tc>
        <w:tc>
          <w:tcPr>
            <w:tcW w:w="3868" w:type="dxa"/>
            <w:tcBorders>
              <w:tl2br w:val="nil"/>
              <w:tr2bl w:val="nil"/>
            </w:tcBorders>
            <w:vAlign w:val="center"/>
          </w:tcPr>
          <w:p w14:paraId="48D0837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1191.3-2024）第8.1.1条</w:t>
            </w:r>
          </w:p>
        </w:tc>
        <w:tc>
          <w:tcPr>
            <w:tcW w:w="376" w:type="dxa"/>
            <w:tcBorders>
              <w:tl2br w:val="nil"/>
              <w:tr2bl w:val="nil"/>
            </w:tcBorders>
          </w:tcPr>
          <w:p w14:paraId="024FCAAB"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01E2894C" w14:textId="77777777" w:rsidTr="008351BE">
        <w:trPr>
          <w:trHeight w:val="347"/>
          <w:jc w:val="center"/>
        </w:trPr>
        <w:tc>
          <w:tcPr>
            <w:tcW w:w="971" w:type="dxa"/>
            <w:tcBorders>
              <w:tl2br w:val="nil"/>
              <w:tr2bl w:val="nil"/>
            </w:tcBorders>
            <w:vAlign w:val="center"/>
          </w:tcPr>
          <w:p w14:paraId="15019917"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15.3.02.115</w:t>
            </w:r>
          </w:p>
        </w:tc>
        <w:tc>
          <w:tcPr>
            <w:tcW w:w="1064" w:type="dxa"/>
            <w:tcBorders>
              <w:tl2br w:val="nil"/>
              <w:tr2bl w:val="nil"/>
            </w:tcBorders>
            <w:vAlign w:val="center"/>
          </w:tcPr>
          <w:p w14:paraId="795AC2F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人员类</w:t>
            </w:r>
          </w:p>
        </w:tc>
        <w:tc>
          <w:tcPr>
            <w:tcW w:w="1089" w:type="dxa"/>
            <w:tcBorders>
              <w:tl2br w:val="nil"/>
              <w:tr2bl w:val="nil"/>
            </w:tcBorders>
            <w:vAlign w:val="center"/>
          </w:tcPr>
          <w:p w14:paraId="29F7A0F5"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操作行为类</w:t>
            </w:r>
          </w:p>
        </w:tc>
        <w:tc>
          <w:tcPr>
            <w:tcW w:w="2861" w:type="dxa"/>
            <w:tcBorders>
              <w:tl2br w:val="nil"/>
              <w:tr2bl w:val="nil"/>
            </w:tcBorders>
            <w:vAlign w:val="center"/>
          </w:tcPr>
          <w:p w14:paraId="1BE6954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自行配制的、主要成分含有危险化学品的实验样品，未</w:t>
            </w:r>
            <w:proofErr w:type="gramStart"/>
            <w:r w:rsidRPr="00EF4836">
              <w:rPr>
                <w:rFonts w:ascii="仿宋_GB2312" w:eastAsia="仿宋_GB2312" w:hAnsi="仿宋_GB2312" w:cs="仿宋_GB2312" w:hint="eastAsia"/>
                <w:color w:val="000000"/>
                <w:sz w:val="20"/>
                <w:szCs w:val="20"/>
              </w:rPr>
              <w:t>按危</w:t>
            </w:r>
            <w:r w:rsidRPr="00EF4836">
              <w:rPr>
                <w:rFonts w:ascii="仿宋_GB2312" w:eastAsia="仿宋_GB2312" w:hAnsi="仿宋_GB2312" w:cs="仿宋_GB2312" w:hint="eastAsia"/>
                <w:color w:val="000000"/>
                <w:sz w:val="20"/>
                <w:szCs w:val="20"/>
              </w:rPr>
              <w:lastRenderedPageBreak/>
              <w:t>险</w:t>
            </w:r>
            <w:proofErr w:type="gramEnd"/>
            <w:r w:rsidRPr="00EF4836">
              <w:rPr>
                <w:rFonts w:ascii="仿宋_GB2312" w:eastAsia="仿宋_GB2312" w:hAnsi="仿宋_GB2312" w:cs="仿宋_GB2312" w:hint="eastAsia"/>
                <w:color w:val="000000"/>
                <w:sz w:val="20"/>
                <w:szCs w:val="20"/>
              </w:rPr>
              <w:t>化学品进行管理，随意放置于实验台上；</w:t>
            </w:r>
          </w:p>
          <w:p w14:paraId="77F94FB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自配制或分装后的包装物未重新粘贴标签，未注明化学品成分、浓度等主要信息，分装后的包装物未标明体积信息，样品在实验室期间未保留该标签。</w:t>
            </w:r>
          </w:p>
        </w:tc>
        <w:tc>
          <w:tcPr>
            <w:tcW w:w="3889" w:type="dxa"/>
            <w:tcBorders>
              <w:tl2br w:val="nil"/>
              <w:tr2bl w:val="nil"/>
            </w:tcBorders>
            <w:vAlign w:val="center"/>
          </w:tcPr>
          <w:p w14:paraId="3274A6B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自行配制的、主要成分含有危险化学品的实验样品，应</w:t>
            </w:r>
            <w:proofErr w:type="gramStart"/>
            <w:r w:rsidRPr="00EF4836">
              <w:rPr>
                <w:rFonts w:ascii="仿宋_GB2312" w:eastAsia="仿宋_GB2312" w:hAnsi="仿宋_GB2312" w:cs="仿宋_GB2312" w:hint="eastAsia"/>
                <w:color w:val="000000"/>
                <w:sz w:val="20"/>
                <w:szCs w:val="20"/>
              </w:rPr>
              <w:t>按危险</w:t>
            </w:r>
            <w:proofErr w:type="gramEnd"/>
            <w:r w:rsidRPr="00EF4836">
              <w:rPr>
                <w:rFonts w:ascii="仿宋_GB2312" w:eastAsia="仿宋_GB2312" w:hAnsi="仿宋_GB2312" w:cs="仿宋_GB2312" w:hint="eastAsia"/>
                <w:color w:val="000000"/>
                <w:sz w:val="20"/>
                <w:szCs w:val="20"/>
              </w:rPr>
              <w:t>化学品进行管理，不应</w:t>
            </w:r>
            <w:r w:rsidRPr="00EF4836">
              <w:rPr>
                <w:rFonts w:ascii="仿宋_GB2312" w:eastAsia="仿宋_GB2312" w:hAnsi="仿宋_GB2312" w:cs="仿宋_GB2312" w:hint="eastAsia"/>
                <w:color w:val="000000"/>
                <w:sz w:val="20"/>
                <w:szCs w:val="20"/>
              </w:rPr>
              <w:lastRenderedPageBreak/>
              <w:t>随意放置于实验台上。自行配制或分装后的包装物应重新粘贴标签，注明化学品成分、浓度等主要信息，分装后的包装物还应标明体积信息，样品在实验室期间应保留该标签。</w:t>
            </w:r>
          </w:p>
        </w:tc>
        <w:tc>
          <w:tcPr>
            <w:tcW w:w="3868" w:type="dxa"/>
            <w:tcBorders>
              <w:tl2br w:val="nil"/>
              <w:tr2bl w:val="nil"/>
            </w:tcBorders>
            <w:vAlign w:val="center"/>
          </w:tcPr>
          <w:p w14:paraId="402C254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《实验室危险化学品安全管理要求 第3部分：科研单位》（DB11/T 1191.3-2024）第</w:t>
            </w:r>
            <w:r w:rsidRPr="00EF4836">
              <w:rPr>
                <w:rFonts w:ascii="仿宋_GB2312" w:eastAsia="仿宋_GB2312" w:hAnsi="仿宋_GB2312" w:cs="仿宋_GB2312" w:hint="eastAsia"/>
                <w:color w:val="000000"/>
                <w:sz w:val="20"/>
                <w:szCs w:val="20"/>
              </w:rPr>
              <w:lastRenderedPageBreak/>
              <w:t>8.1.8条</w:t>
            </w:r>
          </w:p>
        </w:tc>
        <w:tc>
          <w:tcPr>
            <w:tcW w:w="376" w:type="dxa"/>
            <w:tcBorders>
              <w:tl2br w:val="nil"/>
              <w:tr2bl w:val="nil"/>
            </w:tcBorders>
          </w:tcPr>
          <w:p w14:paraId="789EDF1E"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6022ECC5" w14:textId="77777777" w:rsidTr="008351BE">
        <w:trPr>
          <w:trHeight w:val="347"/>
          <w:jc w:val="center"/>
        </w:trPr>
        <w:tc>
          <w:tcPr>
            <w:tcW w:w="971" w:type="dxa"/>
            <w:tcBorders>
              <w:tl2br w:val="nil"/>
              <w:tr2bl w:val="nil"/>
            </w:tcBorders>
            <w:vAlign w:val="center"/>
          </w:tcPr>
          <w:p w14:paraId="6AB9E4C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15.3.02.116</w:t>
            </w:r>
          </w:p>
        </w:tc>
        <w:tc>
          <w:tcPr>
            <w:tcW w:w="1064" w:type="dxa"/>
            <w:tcBorders>
              <w:tl2br w:val="nil"/>
              <w:tr2bl w:val="nil"/>
            </w:tcBorders>
            <w:vAlign w:val="center"/>
          </w:tcPr>
          <w:p w14:paraId="788A7AA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人员类</w:t>
            </w:r>
          </w:p>
        </w:tc>
        <w:tc>
          <w:tcPr>
            <w:tcW w:w="1089" w:type="dxa"/>
            <w:tcBorders>
              <w:tl2br w:val="nil"/>
              <w:tr2bl w:val="nil"/>
            </w:tcBorders>
            <w:vAlign w:val="center"/>
          </w:tcPr>
          <w:p w14:paraId="7390AA77"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操作行为类</w:t>
            </w:r>
          </w:p>
        </w:tc>
        <w:tc>
          <w:tcPr>
            <w:tcW w:w="2861" w:type="dxa"/>
            <w:tcBorders>
              <w:tl2br w:val="nil"/>
              <w:tr2bl w:val="nil"/>
            </w:tcBorders>
            <w:vAlign w:val="center"/>
          </w:tcPr>
          <w:p w14:paraId="0FE887D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未定期对过期危险化学品、无使用价值的自配化学品以及缺少安全标签、不清楚主要成分的危险化学品进行全面清理。</w:t>
            </w:r>
          </w:p>
        </w:tc>
        <w:tc>
          <w:tcPr>
            <w:tcW w:w="3889" w:type="dxa"/>
            <w:tcBorders>
              <w:tl2br w:val="nil"/>
              <w:tr2bl w:val="nil"/>
            </w:tcBorders>
            <w:vAlign w:val="center"/>
          </w:tcPr>
          <w:p w14:paraId="66B069F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应定期对过期危险化学品、无使用价值的自配化学品以及缺少安全标签、不清楚主要成分的危险化学品进行全面清理。</w:t>
            </w:r>
          </w:p>
        </w:tc>
        <w:tc>
          <w:tcPr>
            <w:tcW w:w="3868" w:type="dxa"/>
            <w:tcBorders>
              <w:tl2br w:val="nil"/>
              <w:tr2bl w:val="nil"/>
            </w:tcBorders>
            <w:vAlign w:val="center"/>
          </w:tcPr>
          <w:p w14:paraId="18DE3CA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1191.3-2024）第8.1.8条</w:t>
            </w:r>
          </w:p>
        </w:tc>
        <w:tc>
          <w:tcPr>
            <w:tcW w:w="376" w:type="dxa"/>
            <w:tcBorders>
              <w:tl2br w:val="nil"/>
              <w:tr2bl w:val="nil"/>
            </w:tcBorders>
          </w:tcPr>
          <w:p w14:paraId="20C9287C"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5D45627A" w14:textId="77777777" w:rsidTr="008351BE">
        <w:trPr>
          <w:trHeight w:val="347"/>
          <w:jc w:val="center"/>
        </w:trPr>
        <w:tc>
          <w:tcPr>
            <w:tcW w:w="971" w:type="dxa"/>
            <w:tcBorders>
              <w:tl2br w:val="nil"/>
              <w:tr2bl w:val="nil"/>
            </w:tcBorders>
            <w:vAlign w:val="center"/>
          </w:tcPr>
          <w:p w14:paraId="36E2259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15.3.02.117</w:t>
            </w:r>
          </w:p>
        </w:tc>
        <w:tc>
          <w:tcPr>
            <w:tcW w:w="1064" w:type="dxa"/>
            <w:tcBorders>
              <w:tl2br w:val="nil"/>
              <w:tr2bl w:val="nil"/>
            </w:tcBorders>
            <w:vAlign w:val="center"/>
          </w:tcPr>
          <w:p w14:paraId="1CC924DE"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人员类</w:t>
            </w:r>
          </w:p>
        </w:tc>
        <w:tc>
          <w:tcPr>
            <w:tcW w:w="1089" w:type="dxa"/>
            <w:tcBorders>
              <w:tl2br w:val="nil"/>
              <w:tr2bl w:val="nil"/>
            </w:tcBorders>
            <w:vAlign w:val="center"/>
          </w:tcPr>
          <w:p w14:paraId="6B981AA8"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操作行为类</w:t>
            </w:r>
          </w:p>
        </w:tc>
        <w:tc>
          <w:tcPr>
            <w:tcW w:w="2861" w:type="dxa"/>
            <w:tcBorders>
              <w:tl2br w:val="nil"/>
              <w:tr2bl w:val="nil"/>
            </w:tcBorders>
            <w:vAlign w:val="center"/>
          </w:tcPr>
          <w:p w14:paraId="4543A03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瓶装气体擅自充装、分装、倒瓶。</w:t>
            </w:r>
          </w:p>
        </w:tc>
        <w:tc>
          <w:tcPr>
            <w:tcW w:w="3889" w:type="dxa"/>
            <w:tcBorders>
              <w:tl2br w:val="nil"/>
              <w:tr2bl w:val="nil"/>
            </w:tcBorders>
            <w:vAlign w:val="center"/>
          </w:tcPr>
          <w:p w14:paraId="4E65F0C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瓶装气体严禁充装、分装、倒瓶。</w:t>
            </w:r>
          </w:p>
        </w:tc>
        <w:tc>
          <w:tcPr>
            <w:tcW w:w="3868" w:type="dxa"/>
            <w:tcBorders>
              <w:tl2br w:val="nil"/>
              <w:tr2bl w:val="nil"/>
            </w:tcBorders>
            <w:vAlign w:val="center"/>
          </w:tcPr>
          <w:p w14:paraId="37D33F9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1191.1-2025）第8.3.3条</w:t>
            </w:r>
          </w:p>
        </w:tc>
        <w:tc>
          <w:tcPr>
            <w:tcW w:w="376" w:type="dxa"/>
            <w:tcBorders>
              <w:tl2br w:val="nil"/>
              <w:tr2bl w:val="nil"/>
            </w:tcBorders>
          </w:tcPr>
          <w:p w14:paraId="3E3A4A69"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7E14EC6E" w14:textId="77777777" w:rsidTr="008351BE">
        <w:trPr>
          <w:trHeight w:val="347"/>
          <w:jc w:val="center"/>
        </w:trPr>
        <w:tc>
          <w:tcPr>
            <w:tcW w:w="971" w:type="dxa"/>
            <w:tcBorders>
              <w:tl2br w:val="nil"/>
              <w:tr2bl w:val="nil"/>
            </w:tcBorders>
            <w:vAlign w:val="center"/>
          </w:tcPr>
          <w:p w14:paraId="49DFD55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15.3.02.118</w:t>
            </w:r>
          </w:p>
        </w:tc>
        <w:tc>
          <w:tcPr>
            <w:tcW w:w="1064" w:type="dxa"/>
            <w:tcBorders>
              <w:tl2br w:val="nil"/>
              <w:tr2bl w:val="nil"/>
            </w:tcBorders>
            <w:vAlign w:val="center"/>
          </w:tcPr>
          <w:p w14:paraId="2B08171D"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人员类</w:t>
            </w:r>
          </w:p>
        </w:tc>
        <w:tc>
          <w:tcPr>
            <w:tcW w:w="1089" w:type="dxa"/>
            <w:tcBorders>
              <w:tl2br w:val="nil"/>
              <w:tr2bl w:val="nil"/>
            </w:tcBorders>
            <w:vAlign w:val="center"/>
          </w:tcPr>
          <w:p w14:paraId="706B8953"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操作行为类</w:t>
            </w:r>
          </w:p>
        </w:tc>
        <w:tc>
          <w:tcPr>
            <w:tcW w:w="2861" w:type="dxa"/>
            <w:tcBorders>
              <w:tl2br w:val="nil"/>
              <w:tr2bl w:val="nil"/>
            </w:tcBorders>
            <w:vAlign w:val="center"/>
          </w:tcPr>
          <w:p w14:paraId="6880348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实验室内设置氢气、乙炔、环氧乙烷气瓶，未放置在气瓶柜内，未设置可燃气体浓度检测报警器，其排风管未使用不燃材料，并应直接通向室外安全地点。</w:t>
            </w:r>
          </w:p>
        </w:tc>
        <w:tc>
          <w:tcPr>
            <w:tcW w:w="3889" w:type="dxa"/>
            <w:tcBorders>
              <w:tl2br w:val="nil"/>
              <w:tr2bl w:val="nil"/>
            </w:tcBorders>
            <w:vAlign w:val="center"/>
          </w:tcPr>
          <w:p w14:paraId="196C172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实验室内不应设置氢气、乙炔、环氧乙烷气瓶，必须设置时，应放置在气瓶柜内，并设置可燃气体浓度检测报警器，其排风管应使用不燃材料，并应直接通向室外安全地点。</w:t>
            </w:r>
          </w:p>
        </w:tc>
        <w:tc>
          <w:tcPr>
            <w:tcW w:w="3868" w:type="dxa"/>
            <w:tcBorders>
              <w:tl2br w:val="nil"/>
              <w:tr2bl w:val="nil"/>
            </w:tcBorders>
            <w:vAlign w:val="center"/>
          </w:tcPr>
          <w:p w14:paraId="62C1138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第1部分：工业企业》（DB11/T 1191.1-2025）第8.3.4条；</w:t>
            </w:r>
          </w:p>
          <w:p w14:paraId="2416EC2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1191.2-2025）第8.3.4条；</w:t>
            </w:r>
          </w:p>
          <w:p w14:paraId="1E6E39E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1191.3-2024）第6.2.4条；</w:t>
            </w:r>
          </w:p>
        </w:tc>
        <w:tc>
          <w:tcPr>
            <w:tcW w:w="376" w:type="dxa"/>
            <w:tcBorders>
              <w:tl2br w:val="nil"/>
              <w:tr2bl w:val="nil"/>
            </w:tcBorders>
          </w:tcPr>
          <w:p w14:paraId="05B14E49"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59563AF4" w14:textId="77777777" w:rsidTr="008351BE">
        <w:trPr>
          <w:trHeight w:val="514"/>
          <w:jc w:val="center"/>
        </w:trPr>
        <w:tc>
          <w:tcPr>
            <w:tcW w:w="14118" w:type="dxa"/>
            <w:gridSpan w:val="7"/>
            <w:tcBorders>
              <w:tl2br w:val="nil"/>
              <w:tr2bl w:val="nil"/>
            </w:tcBorders>
            <w:shd w:val="clear" w:color="auto" w:fill="95B3D7"/>
            <w:vAlign w:val="center"/>
          </w:tcPr>
          <w:p w14:paraId="03BF34B8" w14:textId="77777777" w:rsidR="00EF4836" w:rsidRPr="00EF4836" w:rsidRDefault="00EF4836" w:rsidP="008351BE">
            <w:pPr>
              <w:widowControl/>
              <w:adjustRightInd w:val="0"/>
              <w:snapToGrid w:val="0"/>
              <w:jc w:val="center"/>
              <w:rPr>
                <w:rFonts w:ascii="仿宋_GB2312" w:eastAsia="仿宋_GB2312" w:hAnsi="黑体" w:cs="宋体" w:hint="eastAsia"/>
                <w:bCs/>
                <w:kern w:val="0"/>
                <w:sz w:val="20"/>
                <w:szCs w:val="20"/>
              </w:rPr>
            </w:pPr>
            <w:r w:rsidRPr="00EF4836">
              <w:rPr>
                <w:rFonts w:ascii="仿宋_GB2312" w:eastAsia="仿宋_GB2312" w:hAnsi="仿宋_GB2312" w:cs="仿宋_GB2312" w:hint="eastAsia"/>
                <w:b/>
                <w:color w:val="000000"/>
                <w:kern w:val="0"/>
                <w:sz w:val="20"/>
                <w:szCs w:val="20"/>
                <w:lang w:bidi="ar"/>
              </w:rPr>
              <w:t>危险化学品实验与储存过程安全管理</w:t>
            </w:r>
          </w:p>
        </w:tc>
      </w:tr>
      <w:tr w:rsidR="00EF4836" w:rsidRPr="00EF4836" w14:paraId="6696B77E" w14:textId="77777777" w:rsidTr="008351BE">
        <w:trPr>
          <w:trHeight w:val="347"/>
          <w:jc w:val="center"/>
        </w:trPr>
        <w:tc>
          <w:tcPr>
            <w:tcW w:w="971" w:type="dxa"/>
            <w:tcBorders>
              <w:tl2br w:val="nil"/>
              <w:tr2bl w:val="nil"/>
            </w:tcBorders>
            <w:vAlign w:val="center"/>
          </w:tcPr>
          <w:p w14:paraId="5C2080C0"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15.3.02.119</w:t>
            </w:r>
          </w:p>
        </w:tc>
        <w:tc>
          <w:tcPr>
            <w:tcW w:w="1064" w:type="dxa"/>
            <w:tcBorders>
              <w:tl2br w:val="nil"/>
              <w:tr2bl w:val="nil"/>
            </w:tcBorders>
            <w:vAlign w:val="center"/>
          </w:tcPr>
          <w:p w14:paraId="65F824F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人员类</w:t>
            </w:r>
          </w:p>
        </w:tc>
        <w:tc>
          <w:tcPr>
            <w:tcW w:w="1089" w:type="dxa"/>
            <w:tcBorders>
              <w:tl2br w:val="nil"/>
              <w:tr2bl w:val="nil"/>
            </w:tcBorders>
            <w:vAlign w:val="center"/>
          </w:tcPr>
          <w:p w14:paraId="7BAFAC3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操作行为类</w:t>
            </w:r>
          </w:p>
        </w:tc>
        <w:tc>
          <w:tcPr>
            <w:tcW w:w="2861" w:type="dxa"/>
            <w:tcBorders>
              <w:tl2br w:val="nil"/>
              <w:tr2bl w:val="nil"/>
            </w:tcBorders>
            <w:vAlign w:val="center"/>
          </w:tcPr>
          <w:p w14:paraId="1D6E9D9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实验室安全负责人或实验项目负责人未组织人员对实验现场、使用危险化学品的实验项</w:t>
            </w:r>
            <w:r w:rsidRPr="00EF4836">
              <w:rPr>
                <w:rFonts w:ascii="仿宋_GB2312" w:eastAsia="仿宋_GB2312" w:hAnsi="仿宋_GB2312" w:cs="仿宋_GB2312" w:hint="eastAsia"/>
                <w:color w:val="000000"/>
                <w:sz w:val="20"/>
                <w:szCs w:val="20"/>
              </w:rPr>
              <w:lastRenderedPageBreak/>
              <w:t>目和实验过程中可能存在的风险进行辨识、评估，未制定相应的安全风险管控措施。</w:t>
            </w:r>
          </w:p>
        </w:tc>
        <w:tc>
          <w:tcPr>
            <w:tcW w:w="3889" w:type="dxa"/>
            <w:tcBorders>
              <w:tl2br w:val="nil"/>
              <w:tr2bl w:val="nil"/>
            </w:tcBorders>
            <w:vAlign w:val="center"/>
          </w:tcPr>
          <w:p w14:paraId="379F603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实验室安全负责人或实验项目负责人应组织人员对实验现场、使用危险化学品的实验项目和实验过程中可能存在的风险进行</w:t>
            </w:r>
            <w:r w:rsidRPr="00EF4836">
              <w:rPr>
                <w:rFonts w:ascii="仿宋_GB2312" w:eastAsia="仿宋_GB2312" w:hAnsi="仿宋_GB2312" w:cs="仿宋_GB2312" w:hint="eastAsia"/>
                <w:color w:val="000000"/>
                <w:sz w:val="20"/>
                <w:szCs w:val="20"/>
              </w:rPr>
              <w:lastRenderedPageBreak/>
              <w:t>辨识、评估，制定相应的安全风险管控措施。</w:t>
            </w:r>
          </w:p>
        </w:tc>
        <w:tc>
          <w:tcPr>
            <w:tcW w:w="3868" w:type="dxa"/>
            <w:tcBorders>
              <w:tl2br w:val="nil"/>
              <w:tr2bl w:val="nil"/>
            </w:tcBorders>
            <w:vAlign w:val="center"/>
          </w:tcPr>
          <w:p w14:paraId="783B4C6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《实验室危险化学品安全管理要求 第2部分：普通高等学校》（DB11/T 1191.2-2025）第5.3.9条；</w:t>
            </w:r>
          </w:p>
          <w:p w14:paraId="15EF52F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《实验室危险化学品安全管理要求 第3部分：科研单位》（DB11/T 1191.3-2024）第8.1.3条b）</w:t>
            </w:r>
          </w:p>
        </w:tc>
        <w:tc>
          <w:tcPr>
            <w:tcW w:w="376" w:type="dxa"/>
            <w:tcBorders>
              <w:tl2br w:val="nil"/>
              <w:tr2bl w:val="nil"/>
            </w:tcBorders>
          </w:tcPr>
          <w:p w14:paraId="194E2965"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65E01D60" w14:textId="77777777" w:rsidTr="008351BE">
        <w:trPr>
          <w:trHeight w:val="347"/>
          <w:jc w:val="center"/>
        </w:trPr>
        <w:tc>
          <w:tcPr>
            <w:tcW w:w="971" w:type="dxa"/>
            <w:tcBorders>
              <w:tl2br w:val="nil"/>
              <w:tr2bl w:val="nil"/>
            </w:tcBorders>
            <w:vAlign w:val="center"/>
          </w:tcPr>
          <w:p w14:paraId="3F0A58A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15.3.02.120</w:t>
            </w:r>
          </w:p>
        </w:tc>
        <w:tc>
          <w:tcPr>
            <w:tcW w:w="1064" w:type="dxa"/>
            <w:tcBorders>
              <w:tl2br w:val="nil"/>
              <w:tr2bl w:val="nil"/>
            </w:tcBorders>
            <w:vAlign w:val="center"/>
          </w:tcPr>
          <w:p w14:paraId="0AF6FBF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人员类</w:t>
            </w:r>
          </w:p>
        </w:tc>
        <w:tc>
          <w:tcPr>
            <w:tcW w:w="1089" w:type="dxa"/>
            <w:tcBorders>
              <w:tl2br w:val="nil"/>
              <w:tr2bl w:val="nil"/>
            </w:tcBorders>
            <w:vAlign w:val="center"/>
          </w:tcPr>
          <w:p w14:paraId="402E218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操作行为类</w:t>
            </w:r>
          </w:p>
        </w:tc>
        <w:tc>
          <w:tcPr>
            <w:tcW w:w="2861" w:type="dxa"/>
            <w:tcBorders>
              <w:tl2br w:val="nil"/>
              <w:tr2bl w:val="nil"/>
            </w:tcBorders>
            <w:vAlign w:val="center"/>
          </w:tcPr>
          <w:p w14:paraId="44C830B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安全负责人或实验项目负责人未对参加实验的人员进行安全措施交底；项目负责人未向实验室内同时作业的其他实验操作人员告知本实验过程中可能存在的安全风险、采取的个体防护措施和应急措施、个体防护装备的位置等。</w:t>
            </w:r>
          </w:p>
        </w:tc>
        <w:tc>
          <w:tcPr>
            <w:tcW w:w="3889" w:type="dxa"/>
            <w:tcBorders>
              <w:tl2br w:val="nil"/>
              <w:tr2bl w:val="nil"/>
            </w:tcBorders>
            <w:vAlign w:val="center"/>
          </w:tcPr>
          <w:p w14:paraId="4F02016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安全负责人或实验项目负责人应对参加实验的人员进行安全措施交底，主要包括：实验现场和实验过程中可能存在的危险有害因素、应采取的具体安全措施与应急措施、应急救援器材的位置及分布等；同时，项目负责人应向实验室内同时作业的其他实验操作人员告知本实验过程中可能存在的安全风险、应采取的个体防护措施和应急措施、个体防护装备的位置等。</w:t>
            </w:r>
          </w:p>
        </w:tc>
        <w:tc>
          <w:tcPr>
            <w:tcW w:w="3868" w:type="dxa"/>
            <w:tcBorders>
              <w:tl2br w:val="nil"/>
              <w:tr2bl w:val="nil"/>
            </w:tcBorders>
            <w:vAlign w:val="center"/>
          </w:tcPr>
          <w:p w14:paraId="1AFC77E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1191.3-2024）第8.1.3条c）；</w:t>
            </w:r>
          </w:p>
          <w:p w14:paraId="628FB3B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1191.2-2025）第7.5.5条</w:t>
            </w:r>
          </w:p>
        </w:tc>
        <w:tc>
          <w:tcPr>
            <w:tcW w:w="376" w:type="dxa"/>
            <w:tcBorders>
              <w:tl2br w:val="nil"/>
              <w:tr2bl w:val="nil"/>
            </w:tcBorders>
          </w:tcPr>
          <w:p w14:paraId="3DEDC660"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3BD982C7" w14:textId="77777777" w:rsidTr="008351BE">
        <w:trPr>
          <w:trHeight w:val="347"/>
          <w:jc w:val="center"/>
        </w:trPr>
        <w:tc>
          <w:tcPr>
            <w:tcW w:w="971" w:type="dxa"/>
            <w:tcBorders>
              <w:tl2br w:val="nil"/>
              <w:tr2bl w:val="nil"/>
            </w:tcBorders>
            <w:vAlign w:val="center"/>
          </w:tcPr>
          <w:p w14:paraId="61D3D72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15.3.02.121</w:t>
            </w:r>
          </w:p>
        </w:tc>
        <w:tc>
          <w:tcPr>
            <w:tcW w:w="1064" w:type="dxa"/>
            <w:tcBorders>
              <w:tl2br w:val="nil"/>
              <w:tr2bl w:val="nil"/>
            </w:tcBorders>
            <w:vAlign w:val="center"/>
          </w:tcPr>
          <w:p w14:paraId="16F2910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人员类</w:t>
            </w:r>
          </w:p>
        </w:tc>
        <w:tc>
          <w:tcPr>
            <w:tcW w:w="1089" w:type="dxa"/>
            <w:tcBorders>
              <w:tl2br w:val="nil"/>
              <w:tr2bl w:val="nil"/>
            </w:tcBorders>
            <w:vAlign w:val="center"/>
          </w:tcPr>
          <w:p w14:paraId="72B24514"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操作行为类</w:t>
            </w:r>
          </w:p>
        </w:tc>
        <w:tc>
          <w:tcPr>
            <w:tcW w:w="2861" w:type="dxa"/>
            <w:tcBorders>
              <w:tl2br w:val="nil"/>
              <w:tr2bl w:val="nil"/>
            </w:tcBorders>
            <w:vAlign w:val="center"/>
          </w:tcPr>
          <w:p w14:paraId="3C110F6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实验人员未对实验涉及的仪器、设备等进行安全检查，无检查台账。</w:t>
            </w:r>
          </w:p>
        </w:tc>
        <w:tc>
          <w:tcPr>
            <w:tcW w:w="3889" w:type="dxa"/>
            <w:tcBorders>
              <w:tl2br w:val="nil"/>
              <w:tr2bl w:val="nil"/>
            </w:tcBorders>
            <w:vAlign w:val="center"/>
          </w:tcPr>
          <w:p w14:paraId="75895F2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实验人员对实验涉及的仪器、设备等进行安全检查，并记录检查台账。</w:t>
            </w:r>
          </w:p>
        </w:tc>
        <w:tc>
          <w:tcPr>
            <w:tcW w:w="3868" w:type="dxa"/>
            <w:tcBorders>
              <w:tl2br w:val="nil"/>
              <w:tr2bl w:val="nil"/>
            </w:tcBorders>
            <w:vAlign w:val="center"/>
          </w:tcPr>
          <w:p w14:paraId="3214287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 xml:space="preserve">《实验室危险化学品安全管理要求 第2部分：普通高等学校》（DB11/T 1191.2-2025）第7.1.1条； </w:t>
            </w:r>
          </w:p>
          <w:p w14:paraId="4A6254F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1191.3-2024）第8.1.3条d）</w:t>
            </w:r>
          </w:p>
        </w:tc>
        <w:tc>
          <w:tcPr>
            <w:tcW w:w="376" w:type="dxa"/>
            <w:tcBorders>
              <w:tl2br w:val="nil"/>
              <w:tr2bl w:val="nil"/>
            </w:tcBorders>
          </w:tcPr>
          <w:p w14:paraId="396391B4"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0BDFB6A9" w14:textId="77777777" w:rsidTr="008351BE">
        <w:trPr>
          <w:trHeight w:val="347"/>
          <w:jc w:val="center"/>
        </w:trPr>
        <w:tc>
          <w:tcPr>
            <w:tcW w:w="971" w:type="dxa"/>
            <w:tcBorders>
              <w:tl2br w:val="nil"/>
              <w:tr2bl w:val="nil"/>
            </w:tcBorders>
            <w:vAlign w:val="center"/>
          </w:tcPr>
          <w:p w14:paraId="227AE4B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15.3.02.122</w:t>
            </w:r>
          </w:p>
        </w:tc>
        <w:tc>
          <w:tcPr>
            <w:tcW w:w="1064" w:type="dxa"/>
            <w:tcBorders>
              <w:tl2br w:val="nil"/>
              <w:tr2bl w:val="nil"/>
            </w:tcBorders>
            <w:vAlign w:val="center"/>
          </w:tcPr>
          <w:p w14:paraId="5FA4DA7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人员类</w:t>
            </w:r>
          </w:p>
        </w:tc>
        <w:tc>
          <w:tcPr>
            <w:tcW w:w="1089" w:type="dxa"/>
            <w:tcBorders>
              <w:tl2br w:val="nil"/>
              <w:tr2bl w:val="nil"/>
            </w:tcBorders>
            <w:vAlign w:val="center"/>
          </w:tcPr>
          <w:p w14:paraId="525E7BA5"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操作行为类</w:t>
            </w:r>
          </w:p>
        </w:tc>
        <w:tc>
          <w:tcPr>
            <w:tcW w:w="2861" w:type="dxa"/>
            <w:tcBorders>
              <w:tl2br w:val="nil"/>
              <w:tr2bl w:val="nil"/>
            </w:tcBorders>
            <w:vAlign w:val="center"/>
          </w:tcPr>
          <w:p w14:paraId="0DBA566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实验室安全负责人或实验项目负责人未定期对实验室危险化学品管理工作进行安全检查。</w:t>
            </w:r>
          </w:p>
        </w:tc>
        <w:tc>
          <w:tcPr>
            <w:tcW w:w="3889" w:type="dxa"/>
            <w:tcBorders>
              <w:tl2br w:val="nil"/>
              <w:tr2bl w:val="nil"/>
            </w:tcBorders>
            <w:vAlign w:val="center"/>
          </w:tcPr>
          <w:p w14:paraId="4091E27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安全负责人或实验项目负责人应定期对实验室危险化学品管理工作进行安全检查，安全检查应包括风险源辨识、风险控制措施、人员行为、安全设施和设备、应急物资等内容。应对实验人员个体防护装备穿戴情况进行检查。</w:t>
            </w:r>
          </w:p>
        </w:tc>
        <w:tc>
          <w:tcPr>
            <w:tcW w:w="3868" w:type="dxa"/>
            <w:tcBorders>
              <w:tl2br w:val="nil"/>
              <w:tr2bl w:val="nil"/>
            </w:tcBorders>
            <w:vAlign w:val="center"/>
          </w:tcPr>
          <w:p w14:paraId="37A9034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1191.3-2024）第8.1.3条e）、第4.5.3条</w:t>
            </w:r>
          </w:p>
        </w:tc>
        <w:tc>
          <w:tcPr>
            <w:tcW w:w="376" w:type="dxa"/>
            <w:tcBorders>
              <w:tl2br w:val="nil"/>
              <w:tr2bl w:val="nil"/>
            </w:tcBorders>
          </w:tcPr>
          <w:p w14:paraId="69EEDEA1"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5A4CF901" w14:textId="77777777" w:rsidTr="008351BE">
        <w:trPr>
          <w:trHeight w:val="347"/>
          <w:jc w:val="center"/>
        </w:trPr>
        <w:tc>
          <w:tcPr>
            <w:tcW w:w="971" w:type="dxa"/>
            <w:tcBorders>
              <w:tl2br w:val="nil"/>
              <w:tr2bl w:val="nil"/>
            </w:tcBorders>
            <w:vAlign w:val="center"/>
          </w:tcPr>
          <w:p w14:paraId="206F21A7"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15.3.02.123</w:t>
            </w:r>
          </w:p>
        </w:tc>
        <w:tc>
          <w:tcPr>
            <w:tcW w:w="1064" w:type="dxa"/>
            <w:tcBorders>
              <w:tl2br w:val="nil"/>
              <w:tr2bl w:val="nil"/>
            </w:tcBorders>
            <w:vAlign w:val="center"/>
          </w:tcPr>
          <w:p w14:paraId="626AB63E"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人员类</w:t>
            </w:r>
          </w:p>
        </w:tc>
        <w:tc>
          <w:tcPr>
            <w:tcW w:w="1089" w:type="dxa"/>
            <w:tcBorders>
              <w:tl2br w:val="nil"/>
              <w:tr2bl w:val="nil"/>
            </w:tcBorders>
            <w:vAlign w:val="center"/>
          </w:tcPr>
          <w:p w14:paraId="32DE59A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操作行为类</w:t>
            </w:r>
          </w:p>
        </w:tc>
        <w:tc>
          <w:tcPr>
            <w:tcW w:w="2861" w:type="dxa"/>
            <w:tcBorders>
              <w:tl2br w:val="nil"/>
              <w:tr2bl w:val="nil"/>
            </w:tcBorders>
            <w:vAlign w:val="center"/>
          </w:tcPr>
          <w:p w14:paraId="1722B33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实验项目负责人未对参与实验人员开展实验室及实验项目有关操作规程进行再培训。</w:t>
            </w:r>
          </w:p>
        </w:tc>
        <w:tc>
          <w:tcPr>
            <w:tcW w:w="3889" w:type="dxa"/>
            <w:tcBorders>
              <w:tl2br w:val="nil"/>
              <w:tr2bl w:val="nil"/>
            </w:tcBorders>
            <w:vAlign w:val="center"/>
          </w:tcPr>
          <w:p w14:paraId="2942F4E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实验项目负责人应对参与实验人员开展实验室及实验项目有关操作规程进行再培训。</w:t>
            </w:r>
          </w:p>
        </w:tc>
        <w:tc>
          <w:tcPr>
            <w:tcW w:w="3868" w:type="dxa"/>
            <w:tcBorders>
              <w:tl2br w:val="nil"/>
              <w:tr2bl w:val="nil"/>
            </w:tcBorders>
            <w:vAlign w:val="center"/>
          </w:tcPr>
          <w:p w14:paraId="08B99E7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1191.3-2024）第8.1.3条e）</w:t>
            </w:r>
          </w:p>
        </w:tc>
        <w:tc>
          <w:tcPr>
            <w:tcW w:w="376" w:type="dxa"/>
            <w:tcBorders>
              <w:tl2br w:val="nil"/>
              <w:tr2bl w:val="nil"/>
            </w:tcBorders>
          </w:tcPr>
          <w:p w14:paraId="54018B61"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3B24814A" w14:textId="77777777" w:rsidTr="008351BE">
        <w:trPr>
          <w:trHeight w:val="347"/>
          <w:jc w:val="center"/>
        </w:trPr>
        <w:tc>
          <w:tcPr>
            <w:tcW w:w="971" w:type="dxa"/>
            <w:tcBorders>
              <w:tl2br w:val="nil"/>
              <w:tr2bl w:val="nil"/>
            </w:tcBorders>
            <w:vAlign w:val="center"/>
          </w:tcPr>
          <w:p w14:paraId="55F9835D"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15.3.02.124</w:t>
            </w:r>
          </w:p>
        </w:tc>
        <w:tc>
          <w:tcPr>
            <w:tcW w:w="1064" w:type="dxa"/>
            <w:tcBorders>
              <w:tl2br w:val="nil"/>
              <w:tr2bl w:val="nil"/>
            </w:tcBorders>
            <w:vAlign w:val="center"/>
          </w:tcPr>
          <w:p w14:paraId="6031651E"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人员类</w:t>
            </w:r>
          </w:p>
        </w:tc>
        <w:tc>
          <w:tcPr>
            <w:tcW w:w="1089" w:type="dxa"/>
            <w:tcBorders>
              <w:tl2br w:val="nil"/>
              <w:tr2bl w:val="nil"/>
            </w:tcBorders>
            <w:vAlign w:val="center"/>
          </w:tcPr>
          <w:p w14:paraId="6201240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操作行为类</w:t>
            </w:r>
          </w:p>
        </w:tc>
        <w:tc>
          <w:tcPr>
            <w:tcW w:w="2861" w:type="dxa"/>
            <w:tcBorders>
              <w:tl2br w:val="nil"/>
              <w:tr2bl w:val="nil"/>
            </w:tcBorders>
            <w:vAlign w:val="center"/>
          </w:tcPr>
          <w:p w14:paraId="60D05BF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实验人员未提前阅读化学品安全技术说明书，未掌握所使用的危险化学品的危险特性和应急措施，未做好个体防护。</w:t>
            </w:r>
          </w:p>
        </w:tc>
        <w:tc>
          <w:tcPr>
            <w:tcW w:w="3889" w:type="dxa"/>
            <w:tcBorders>
              <w:tl2br w:val="nil"/>
              <w:tr2bl w:val="nil"/>
            </w:tcBorders>
            <w:vAlign w:val="center"/>
          </w:tcPr>
          <w:p w14:paraId="3463EAE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实验人员应提前阅读化学品安全技术说明书，掌握所使用的危险化学品的危险特性和应急措施，做好个体防护。</w:t>
            </w:r>
          </w:p>
        </w:tc>
        <w:tc>
          <w:tcPr>
            <w:tcW w:w="3868" w:type="dxa"/>
            <w:tcBorders>
              <w:tl2br w:val="nil"/>
              <w:tr2bl w:val="nil"/>
            </w:tcBorders>
            <w:vAlign w:val="center"/>
          </w:tcPr>
          <w:p w14:paraId="78370B7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1191.3-2024）第8.1.4条</w:t>
            </w:r>
          </w:p>
        </w:tc>
        <w:tc>
          <w:tcPr>
            <w:tcW w:w="376" w:type="dxa"/>
            <w:tcBorders>
              <w:tl2br w:val="nil"/>
              <w:tr2bl w:val="nil"/>
            </w:tcBorders>
          </w:tcPr>
          <w:p w14:paraId="72BF9783"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5493572A" w14:textId="77777777" w:rsidTr="008351BE">
        <w:trPr>
          <w:trHeight w:val="347"/>
          <w:jc w:val="center"/>
        </w:trPr>
        <w:tc>
          <w:tcPr>
            <w:tcW w:w="971" w:type="dxa"/>
            <w:tcBorders>
              <w:tl2br w:val="nil"/>
              <w:tr2bl w:val="nil"/>
            </w:tcBorders>
            <w:vAlign w:val="center"/>
          </w:tcPr>
          <w:p w14:paraId="0280C1BD"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15.3.02.125</w:t>
            </w:r>
          </w:p>
        </w:tc>
        <w:tc>
          <w:tcPr>
            <w:tcW w:w="1064" w:type="dxa"/>
            <w:tcBorders>
              <w:tl2br w:val="nil"/>
              <w:tr2bl w:val="nil"/>
            </w:tcBorders>
            <w:vAlign w:val="center"/>
          </w:tcPr>
          <w:p w14:paraId="20951893"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人员类</w:t>
            </w:r>
          </w:p>
        </w:tc>
        <w:tc>
          <w:tcPr>
            <w:tcW w:w="1089" w:type="dxa"/>
            <w:tcBorders>
              <w:tl2br w:val="nil"/>
              <w:tr2bl w:val="nil"/>
            </w:tcBorders>
            <w:vAlign w:val="center"/>
          </w:tcPr>
          <w:p w14:paraId="12DC79A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操作行为类</w:t>
            </w:r>
          </w:p>
        </w:tc>
        <w:tc>
          <w:tcPr>
            <w:tcW w:w="2861" w:type="dxa"/>
            <w:tcBorders>
              <w:tl2br w:val="nil"/>
              <w:tr2bl w:val="nil"/>
            </w:tcBorders>
            <w:vAlign w:val="center"/>
          </w:tcPr>
          <w:p w14:paraId="2F32BEC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科研单位实验室实验过程未按照实验方案进行，重大改变未按程序重新审批。实验结束后，未对实验情况进行全面分析，未编写总结报告。</w:t>
            </w:r>
          </w:p>
        </w:tc>
        <w:tc>
          <w:tcPr>
            <w:tcW w:w="3889" w:type="dxa"/>
            <w:tcBorders>
              <w:tl2br w:val="nil"/>
              <w:tr2bl w:val="nil"/>
            </w:tcBorders>
            <w:vAlign w:val="center"/>
          </w:tcPr>
          <w:p w14:paraId="48CD8EF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实验过程应按照实验方案进行，如有重大改变，应按程序重新审批，必要时重新组织专家论证。实验结束后，对实验情况进行全面分析的基础上，编写总结报告，分析和总结应有安全设施、设备运转情况的章节。</w:t>
            </w:r>
          </w:p>
        </w:tc>
        <w:tc>
          <w:tcPr>
            <w:tcW w:w="3868" w:type="dxa"/>
            <w:tcBorders>
              <w:tl2br w:val="nil"/>
              <w:tr2bl w:val="nil"/>
            </w:tcBorders>
            <w:vAlign w:val="center"/>
          </w:tcPr>
          <w:p w14:paraId="10F370A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1191.3-2024）第8.1.10条</w:t>
            </w:r>
          </w:p>
        </w:tc>
        <w:tc>
          <w:tcPr>
            <w:tcW w:w="376" w:type="dxa"/>
            <w:tcBorders>
              <w:tl2br w:val="nil"/>
              <w:tr2bl w:val="nil"/>
            </w:tcBorders>
          </w:tcPr>
          <w:p w14:paraId="663684D9"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3404BE78" w14:textId="77777777" w:rsidTr="008351BE">
        <w:trPr>
          <w:trHeight w:val="347"/>
          <w:jc w:val="center"/>
        </w:trPr>
        <w:tc>
          <w:tcPr>
            <w:tcW w:w="971" w:type="dxa"/>
            <w:tcBorders>
              <w:tl2br w:val="nil"/>
              <w:tr2bl w:val="nil"/>
            </w:tcBorders>
            <w:vAlign w:val="center"/>
          </w:tcPr>
          <w:p w14:paraId="3383DA6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15.3.02.126</w:t>
            </w:r>
          </w:p>
        </w:tc>
        <w:tc>
          <w:tcPr>
            <w:tcW w:w="1064" w:type="dxa"/>
            <w:tcBorders>
              <w:tl2br w:val="nil"/>
              <w:tr2bl w:val="nil"/>
            </w:tcBorders>
            <w:vAlign w:val="center"/>
          </w:tcPr>
          <w:p w14:paraId="645E435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人员类</w:t>
            </w:r>
          </w:p>
        </w:tc>
        <w:tc>
          <w:tcPr>
            <w:tcW w:w="1089" w:type="dxa"/>
            <w:tcBorders>
              <w:tl2br w:val="nil"/>
              <w:tr2bl w:val="nil"/>
            </w:tcBorders>
            <w:vAlign w:val="center"/>
          </w:tcPr>
          <w:p w14:paraId="0F4B052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操作行为类</w:t>
            </w:r>
          </w:p>
        </w:tc>
        <w:tc>
          <w:tcPr>
            <w:tcW w:w="2861" w:type="dxa"/>
            <w:tcBorders>
              <w:tl2br w:val="nil"/>
              <w:tr2bl w:val="nil"/>
            </w:tcBorders>
            <w:vAlign w:val="center"/>
          </w:tcPr>
          <w:p w14:paraId="4C107B4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科研单位实验室同一间实验室或实验现场存在多人员、多科目交叉实验。未限定参与每项实验的人数上限，未对进入实验室的人数进行控制，实验室未采用门禁等设施对进入人数及权限进行管理。</w:t>
            </w:r>
          </w:p>
        </w:tc>
        <w:tc>
          <w:tcPr>
            <w:tcW w:w="3889" w:type="dxa"/>
            <w:tcBorders>
              <w:tl2br w:val="nil"/>
              <w:tr2bl w:val="nil"/>
            </w:tcBorders>
            <w:vAlign w:val="center"/>
          </w:tcPr>
          <w:p w14:paraId="2F557CA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同一间实验室或实验现场应减少多人员、多科目交叉实验。宜限定参与每项实验的人数上限，对进入实验室的人数进行控制，实验室可采用门禁等设施对进入人数及权限进行管理。</w:t>
            </w:r>
          </w:p>
        </w:tc>
        <w:tc>
          <w:tcPr>
            <w:tcW w:w="3868" w:type="dxa"/>
            <w:tcBorders>
              <w:tl2br w:val="nil"/>
              <w:tr2bl w:val="nil"/>
            </w:tcBorders>
            <w:vAlign w:val="center"/>
          </w:tcPr>
          <w:p w14:paraId="7D9AE44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1191.3-2024）第8.1.11条</w:t>
            </w:r>
          </w:p>
        </w:tc>
        <w:tc>
          <w:tcPr>
            <w:tcW w:w="376" w:type="dxa"/>
            <w:tcBorders>
              <w:tl2br w:val="nil"/>
              <w:tr2bl w:val="nil"/>
            </w:tcBorders>
          </w:tcPr>
          <w:p w14:paraId="3A3590E7"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510DA65F" w14:textId="77777777" w:rsidTr="008351BE">
        <w:trPr>
          <w:trHeight w:val="347"/>
          <w:jc w:val="center"/>
        </w:trPr>
        <w:tc>
          <w:tcPr>
            <w:tcW w:w="971" w:type="dxa"/>
            <w:tcBorders>
              <w:tl2br w:val="nil"/>
              <w:tr2bl w:val="nil"/>
            </w:tcBorders>
            <w:vAlign w:val="center"/>
          </w:tcPr>
          <w:p w14:paraId="350BBF30"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15.2.03.127</w:t>
            </w:r>
          </w:p>
        </w:tc>
        <w:tc>
          <w:tcPr>
            <w:tcW w:w="1064" w:type="dxa"/>
            <w:tcBorders>
              <w:tl2br w:val="nil"/>
              <w:tr2bl w:val="nil"/>
            </w:tcBorders>
            <w:vAlign w:val="center"/>
          </w:tcPr>
          <w:p w14:paraId="1EB253C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3A43D93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辅助系统设备设施类</w:t>
            </w:r>
          </w:p>
        </w:tc>
        <w:tc>
          <w:tcPr>
            <w:tcW w:w="2861" w:type="dxa"/>
            <w:tcBorders>
              <w:tl2br w:val="nil"/>
              <w:tr2bl w:val="nil"/>
            </w:tcBorders>
          </w:tcPr>
          <w:p w14:paraId="57F2205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涉及危险化工工艺的实验室，未确定重点监控的工艺参数，未根据工艺安全需要，应用物联网、人工智能等技术，未配备作业机器人等智能实验设备或系统，减少实验现场人员数量，降低作业人员操作安全风险。</w:t>
            </w:r>
          </w:p>
        </w:tc>
        <w:tc>
          <w:tcPr>
            <w:tcW w:w="3889" w:type="dxa"/>
            <w:tcBorders>
              <w:tl2br w:val="nil"/>
              <w:tr2bl w:val="nil"/>
            </w:tcBorders>
            <w:vAlign w:val="center"/>
          </w:tcPr>
          <w:p w14:paraId="7ECEF33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涉及危险化工工艺的实验室，应确定重点监控的工艺参数，根据工艺安全需要，应用物联网、人工智能等技术，配备作业机器人等智能实验设备或系统，实现实验作业的自动化，减少实验现场人员数量，降低作业人员操作安全风险。</w:t>
            </w:r>
          </w:p>
        </w:tc>
        <w:tc>
          <w:tcPr>
            <w:tcW w:w="3868" w:type="dxa"/>
            <w:tcBorders>
              <w:tl2br w:val="nil"/>
              <w:tr2bl w:val="nil"/>
            </w:tcBorders>
            <w:vAlign w:val="center"/>
          </w:tcPr>
          <w:p w14:paraId="6455170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1191.3-2024）第8.1.12条</w:t>
            </w:r>
          </w:p>
        </w:tc>
        <w:tc>
          <w:tcPr>
            <w:tcW w:w="376" w:type="dxa"/>
            <w:tcBorders>
              <w:tl2br w:val="nil"/>
              <w:tr2bl w:val="nil"/>
            </w:tcBorders>
          </w:tcPr>
          <w:p w14:paraId="2F61ABEE"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690D3D8F" w14:textId="77777777" w:rsidTr="008351BE">
        <w:trPr>
          <w:trHeight w:val="347"/>
          <w:jc w:val="center"/>
        </w:trPr>
        <w:tc>
          <w:tcPr>
            <w:tcW w:w="971" w:type="dxa"/>
            <w:tcBorders>
              <w:tl2br w:val="nil"/>
              <w:tr2bl w:val="nil"/>
            </w:tcBorders>
            <w:vAlign w:val="center"/>
          </w:tcPr>
          <w:p w14:paraId="13B46D58"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15.2.03.128</w:t>
            </w:r>
          </w:p>
        </w:tc>
        <w:tc>
          <w:tcPr>
            <w:tcW w:w="1064" w:type="dxa"/>
            <w:tcBorders>
              <w:tl2br w:val="nil"/>
              <w:tr2bl w:val="nil"/>
            </w:tcBorders>
            <w:vAlign w:val="center"/>
          </w:tcPr>
          <w:p w14:paraId="0BD392D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4EB56C6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辅助系统设备设施类</w:t>
            </w:r>
          </w:p>
        </w:tc>
        <w:tc>
          <w:tcPr>
            <w:tcW w:w="2861" w:type="dxa"/>
            <w:tcBorders>
              <w:tl2br w:val="nil"/>
              <w:tr2bl w:val="nil"/>
            </w:tcBorders>
          </w:tcPr>
          <w:p w14:paraId="210D19B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在具有爆炸危险性的实验场所内开展的实验项目，未采用自动化控制技术，未设置监测监控设施，未实现人员远程操作与监控，未控制实验现场人员</w:t>
            </w:r>
            <w:r w:rsidRPr="00EF4836">
              <w:rPr>
                <w:rFonts w:ascii="仿宋_GB2312" w:eastAsia="仿宋_GB2312" w:hAnsi="仿宋_GB2312" w:cs="仿宋_GB2312" w:hint="eastAsia"/>
                <w:color w:val="000000"/>
                <w:sz w:val="20"/>
                <w:szCs w:val="20"/>
              </w:rPr>
              <w:lastRenderedPageBreak/>
              <w:t>数量。控制室未设置可靠的安全隔离措施。</w:t>
            </w:r>
          </w:p>
        </w:tc>
        <w:tc>
          <w:tcPr>
            <w:tcW w:w="3889" w:type="dxa"/>
            <w:tcBorders>
              <w:tl2br w:val="nil"/>
              <w:tr2bl w:val="nil"/>
            </w:tcBorders>
            <w:vAlign w:val="center"/>
          </w:tcPr>
          <w:p w14:paraId="0E9F667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在具有爆炸危险性的实验场所内开展的实验项目，应采用自动化控制技术，设置监测监控设施，实现人员远程操作与监控，控制实验现场人员数量。控制室应有可靠的安全隔离措施，以保护人员安全和各类运行</w:t>
            </w:r>
            <w:r w:rsidRPr="00EF4836">
              <w:rPr>
                <w:rFonts w:ascii="仿宋_GB2312" w:eastAsia="仿宋_GB2312" w:hAnsi="仿宋_GB2312" w:cs="仿宋_GB2312" w:hint="eastAsia"/>
                <w:color w:val="000000"/>
                <w:sz w:val="20"/>
                <w:szCs w:val="20"/>
              </w:rPr>
              <w:lastRenderedPageBreak/>
              <w:t>数据的完整。</w:t>
            </w:r>
          </w:p>
        </w:tc>
        <w:tc>
          <w:tcPr>
            <w:tcW w:w="3868" w:type="dxa"/>
            <w:tcBorders>
              <w:tl2br w:val="nil"/>
              <w:tr2bl w:val="nil"/>
            </w:tcBorders>
            <w:vAlign w:val="center"/>
          </w:tcPr>
          <w:p w14:paraId="142A511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《实验室危险化学品安全管理要求 第3部分：科研单位》（DB11/T 1191.3-2024）第8.1.13条</w:t>
            </w:r>
          </w:p>
        </w:tc>
        <w:tc>
          <w:tcPr>
            <w:tcW w:w="376" w:type="dxa"/>
            <w:tcBorders>
              <w:tl2br w:val="nil"/>
              <w:tr2bl w:val="nil"/>
            </w:tcBorders>
          </w:tcPr>
          <w:p w14:paraId="36760792"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2C4AEB72" w14:textId="77777777" w:rsidTr="008351BE">
        <w:trPr>
          <w:trHeight w:val="347"/>
          <w:jc w:val="center"/>
        </w:trPr>
        <w:tc>
          <w:tcPr>
            <w:tcW w:w="971" w:type="dxa"/>
            <w:tcBorders>
              <w:tl2br w:val="nil"/>
              <w:tr2bl w:val="nil"/>
            </w:tcBorders>
            <w:vAlign w:val="center"/>
          </w:tcPr>
          <w:p w14:paraId="3BFF88C4"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15.2.03.129</w:t>
            </w:r>
          </w:p>
        </w:tc>
        <w:tc>
          <w:tcPr>
            <w:tcW w:w="1064" w:type="dxa"/>
            <w:tcBorders>
              <w:tl2br w:val="nil"/>
              <w:tr2bl w:val="nil"/>
            </w:tcBorders>
            <w:vAlign w:val="center"/>
          </w:tcPr>
          <w:p w14:paraId="552E9DA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78639A7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辅助系统设备设施类</w:t>
            </w:r>
          </w:p>
        </w:tc>
        <w:tc>
          <w:tcPr>
            <w:tcW w:w="2861" w:type="dxa"/>
            <w:tcBorders>
              <w:tl2br w:val="nil"/>
              <w:tr2bl w:val="nil"/>
            </w:tcBorders>
          </w:tcPr>
          <w:p w14:paraId="202A806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可能造成人员重大伤亡或财产损失的中（扩）试项目，未采用远程控制技术，未控制现场实验人员数量。DCS控制室未设置可靠的安全隔离措施。</w:t>
            </w:r>
          </w:p>
        </w:tc>
        <w:tc>
          <w:tcPr>
            <w:tcW w:w="3889" w:type="dxa"/>
            <w:tcBorders>
              <w:tl2br w:val="nil"/>
              <w:tr2bl w:val="nil"/>
            </w:tcBorders>
            <w:vAlign w:val="center"/>
          </w:tcPr>
          <w:p w14:paraId="198DDFB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可能造成人员重大伤亡或财产损失的中（扩）试项目，应采用远程控制技术，控制现场实验人员数量。DCS控制室应有可靠的安全隔离措施，以保护人员安全和各类运行数据的完整。</w:t>
            </w:r>
          </w:p>
        </w:tc>
        <w:tc>
          <w:tcPr>
            <w:tcW w:w="3868" w:type="dxa"/>
            <w:tcBorders>
              <w:tl2br w:val="nil"/>
              <w:tr2bl w:val="nil"/>
            </w:tcBorders>
            <w:vAlign w:val="center"/>
          </w:tcPr>
          <w:p w14:paraId="72CB5A1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1191.3-2024）第8.1.20条</w:t>
            </w:r>
          </w:p>
        </w:tc>
        <w:tc>
          <w:tcPr>
            <w:tcW w:w="376" w:type="dxa"/>
            <w:tcBorders>
              <w:tl2br w:val="nil"/>
              <w:tr2bl w:val="nil"/>
            </w:tcBorders>
          </w:tcPr>
          <w:p w14:paraId="7E4B5D65"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76B1A194" w14:textId="77777777" w:rsidTr="008351BE">
        <w:trPr>
          <w:trHeight w:val="347"/>
          <w:jc w:val="center"/>
        </w:trPr>
        <w:tc>
          <w:tcPr>
            <w:tcW w:w="971" w:type="dxa"/>
            <w:tcBorders>
              <w:tl2br w:val="nil"/>
              <w:tr2bl w:val="nil"/>
            </w:tcBorders>
            <w:vAlign w:val="center"/>
          </w:tcPr>
          <w:p w14:paraId="513742B7"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15.2.03.130</w:t>
            </w:r>
          </w:p>
        </w:tc>
        <w:tc>
          <w:tcPr>
            <w:tcW w:w="1064" w:type="dxa"/>
            <w:tcBorders>
              <w:tl2br w:val="nil"/>
              <w:tr2bl w:val="nil"/>
            </w:tcBorders>
            <w:vAlign w:val="center"/>
          </w:tcPr>
          <w:p w14:paraId="50073933"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402A47B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辅助系统设备设施类</w:t>
            </w:r>
          </w:p>
        </w:tc>
        <w:tc>
          <w:tcPr>
            <w:tcW w:w="2861" w:type="dxa"/>
            <w:tcBorders>
              <w:tl2br w:val="nil"/>
              <w:tr2bl w:val="nil"/>
            </w:tcBorders>
          </w:tcPr>
          <w:p w14:paraId="310F4BA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proofErr w:type="gramStart"/>
            <w:r w:rsidRPr="00EF4836">
              <w:rPr>
                <w:rFonts w:ascii="仿宋_GB2312" w:eastAsia="仿宋_GB2312" w:hAnsi="仿宋_GB2312" w:cs="仿宋_GB2312" w:hint="eastAsia"/>
                <w:color w:val="000000"/>
                <w:sz w:val="20"/>
                <w:szCs w:val="20"/>
              </w:rPr>
              <w:t>涉氢实验</w:t>
            </w:r>
            <w:proofErr w:type="gramEnd"/>
            <w:r w:rsidRPr="00EF4836">
              <w:rPr>
                <w:rFonts w:ascii="仿宋_GB2312" w:eastAsia="仿宋_GB2312" w:hAnsi="仿宋_GB2312" w:cs="仿宋_GB2312" w:hint="eastAsia"/>
                <w:color w:val="000000"/>
                <w:sz w:val="20"/>
                <w:szCs w:val="20"/>
              </w:rPr>
              <w:t>项目开展前，未对实验样件、供排气管道、阀门和仪表连接处进行氢气泄漏量检测，当表面1cm处</w:t>
            </w:r>
            <w:proofErr w:type="gramStart"/>
            <w:r w:rsidRPr="00EF4836">
              <w:rPr>
                <w:rFonts w:ascii="仿宋_GB2312" w:eastAsia="仿宋_GB2312" w:hAnsi="仿宋_GB2312" w:cs="仿宋_GB2312" w:hint="eastAsia"/>
                <w:color w:val="000000"/>
                <w:sz w:val="20"/>
                <w:szCs w:val="20"/>
              </w:rPr>
              <w:t>泄漏值</w:t>
            </w:r>
            <w:proofErr w:type="gramEnd"/>
            <w:r w:rsidRPr="00EF4836">
              <w:rPr>
                <w:rFonts w:ascii="仿宋_GB2312" w:eastAsia="仿宋_GB2312" w:hAnsi="仿宋_GB2312" w:cs="仿宋_GB2312" w:hint="eastAsia"/>
                <w:color w:val="000000"/>
                <w:sz w:val="20"/>
                <w:szCs w:val="20"/>
              </w:rPr>
              <w:t>大于百万分之十时未停止开展实验，未查找泄漏源并处理；实验过程中允许人员进入实验区域</w:t>
            </w:r>
            <w:proofErr w:type="gramStart"/>
            <w:r w:rsidRPr="00EF4836">
              <w:rPr>
                <w:rFonts w:ascii="仿宋_GB2312" w:eastAsia="仿宋_GB2312" w:hAnsi="仿宋_GB2312" w:cs="仿宋_GB2312" w:hint="eastAsia"/>
                <w:color w:val="000000"/>
                <w:sz w:val="20"/>
                <w:szCs w:val="20"/>
              </w:rPr>
              <w:t>的涉氢实验</w:t>
            </w:r>
            <w:proofErr w:type="gramEnd"/>
            <w:r w:rsidRPr="00EF4836">
              <w:rPr>
                <w:rFonts w:ascii="仿宋_GB2312" w:eastAsia="仿宋_GB2312" w:hAnsi="仿宋_GB2312" w:cs="仿宋_GB2312" w:hint="eastAsia"/>
                <w:color w:val="000000"/>
                <w:sz w:val="20"/>
                <w:szCs w:val="20"/>
              </w:rPr>
              <w:t>项目，</w:t>
            </w:r>
            <w:proofErr w:type="gramStart"/>
            <w:r w:rsidRPr="00EF4836">
              <w:rPr>
                <w:rFonts w:ascii="仿宋_GB2312" w:eastAsia="仿宋_GB2312" w:hAnsi="仿宋_GB2312" w:cs="仿宋_GB2312" w:hint="eastAsia"/>
                <w:color w:val="000000"/>
                <w:sz w:val="20"/>
                <w:szCs w:val="20"/>
              </w:rPr>
              <w:t>未每</w:t>
            </w:r>
            <w:proofErr w:type="gramEnd"/>
            <w:r w:rsidRPr="00EF4836">
              <w:rPr>
                <w:rFonts w:ascii="仿宋_GB2312" w:eastAsia="仿宋_GB2312" w:hAnsi="仿宋_GB2312" w:cs="仿宋_GB2312" w:hint="eastAsia"/>
                <w:color w:val="000000"/>
                <w:sz w:val="20"/>
                <w:szCs w:val="20"/>
              </w:rPr>
              <w:t>2h对环境中的氢气含量进行检测并记录。</w:t>
            </w:r>
          </w:p>
        </w:tc>
        <w:tc>
          <w:tcPr>
            <w:tcW w:w="3889" w:type="dxa"/>
            <w:tcBorders>
              <w:tl2br w:val="nil"/>
              <w:tr2bl w:val="nil"/>
            </w:tcBorders>
            <w:vAlign w:val="center"/>
          </w:tcPr>
          <w:p w14:paraId="32D5C9F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proofErr w:type="gramStart"/>
            <w:r w:rsidRPr="00EF4836">
              <w:rPr>
                <w:rFonts w:ascii="仿宋_GB2312" w:eastAsia="仿宋_GB2312" w:hAnsi="仿宋_GB2312" w:cs="仿宋_GB2312" w:hint="eastAsia"/>
                <w:color w:val="000000"/>
                <w:sz w:val="20"/>
                <w:szCs w:val="20"/>
              </w:rPr>
              <w:t>涉氢实验</w:t>
            </w:r>
            <w:proofErr w:type="gramEnd"/>
            <w:r w:rsidRPr="00EF4836">
              <w:rPr>
                <w:rFonts w:ascii="仿宋_GB2312" w:eastAsia="仿宋_GB2312" w:hAnsi="仿宋_GB2312" w:cs="仿宋_GB2312" w:hint="eastAsia"/>
                <w:color w:val="000000"/>
                <w:sz w:val="20"/>
                <w:szCs w:val="20"/>
              </w:rPr>
              <w:t>项目开展前，应使用便携式氢气探测仪对实验样件、供排气管道、阀门和仪表连接处进行氢气泄漏量检测，当表面1cm处</w:t>
            </w:r>
            <w:proofErr w:type="gramStart"/>
            <w:r w:rsidRPr="00EF4836">
              <w:rPr>
                <w:rFonts w:ascii="仿宋_GB2312" w:eastAsia="仿宋_GB2312" w:hAnsi="仿宋_GB2312" w:cs="仿宋_GB2312" w:hint="eastAsia"/>
                <w:color w:val="000000"/>
                <w:sz w:val="20"/>
                <w:szCs w:val="20"/>
              </w:rPr>
              <w:t>泄漏值</w:t>
            </w:r>
            <w:proofErr w:type="gramEnd"/>
            <w:r w:rsidRPr="00EF4836">
              <w:rPr>
                <w:rFonts w:ascii="仿宋_GB2312" w:eastAsia="仿宋_GB2312" w:hAnsi="仿宋_GB2312" w:cs="仿宋_GB2312" w:hint="eastAsia"/>
                <w:color w:val="000000"/>
                <w:sz w:val="20"/>
                <w:szCs w:val="20"/>
              </w:rPr>
              <w:t>大于百万分之十时停止开展实验，立即查找泄漏源并处理，二次测漏合格后方可继续实验准备工作；实验过程中允许人员进入实验区域</w:t>
            </w:r>
            <w:proofErr w:type="gramStart"/>
            <w:r w:rsidRPr="00EF4836">
              <w:rPr>
                <w:rFonts w:ascii="仿宋_GB2312" w:eastAsia="仿宋_GB2312" w:hAnsi="仿宋_GB2312" w:cs="仿宋_GB2312" w:hint="eastAsia"/>
                <w:color w:val="000000"/>
                <w:sz w:val="20"/>
                <w:szCs w:val="20"/>
              </w:rPr>
              <w:t>的涉氢实验</w:t>
            </w:r>
            <w:proofErr w:type="gramEnd"/>
            <w:r w:rsidRPr="00EF4836">
              <w:rPr>
                <w:rFonts w:ascii="仿宋_GB2312" w:eastAsia="仿宋_GB2312" w:hAnsi="仿宋_GB2312" w:cs="仿宋_GB2312" w:hint="eastAsia"/>
                <w:color w:val="000000"/>
                <w:sz w:val="20"/>
                <w:szCs w:val="20"/>
              </w:rPr>
              <w:t>项目，应 每2h对环境中的氢气含量进行检测并记录。</w:t>
            </w:r>
          </w:p>
        </w:tc>
        <w:tc>
          <w:tcPr>
            <w:tcW w:w="3868" w:type="dxa"/>
            <w:tcBorders>
              <w:tl2br w:val="nil"/>
              <w:tr2bl w:val="nil"/>
            </w:tcBorders>
            <w:vAlign w:val="center"/>
          </w:tcPr>
          <w:p w14:paraId="4EB0E39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1191.3-2024）第8.1.14条</w:t>
            </w:r>
          </w:p>
        </w:tc>
        <w:tc>
          <w:tcPr>
            <w:tcW w:w="376" w:type="dxa"/>
            <w:tcBorders>
              <w:tl2br w:val="nil"/>
              <w:tr2bl w:val="nil"/>
            </w:tcBorders>
          </w:tcPr>
          <w:p w14:paraId="7317E4CE" w14:textId="77777777" w:rsidR="00EF4836" w:rsidRPr="00EF4836" w:rsidRDefault="00EF4836" w:rsidP="008351BE">
            <w:pPr>
              <w:widowControl/>
              <w:adjustRightInd w:val="0"/>
              <w:snapToGrid w:val="0"/>
              <w:jc w:val="center"/>
              <w:rPr>
                <w:rFonts w:ascii="仿宋_GB2312" w:eastAsia="仿宋_GB2312" w:hAnsi="仿宋_GB2312" w:cs="仿宋_GB2312" w:hint="eastAsia"/>
                <w:color w:val="EE0000"/>
                <w:sz w:val="20"/>
                <w:szCs w:val="20"/>
              </w:rPr>
            </w:pPr>
          </w:p>
        </w:tc>
      </w:tr>
      <w:tr w:rsidR="00EF4836" w:rsidRPr="00EF4836" w14:paraId="5BFDC0D2" w14:textId="77777777" w:rsidTr="008351BE">
        <w:trPr>
          <w:trHeight w:val="347"/>
          <w:jc w:val="center"/>
        </w:trPr>
        <w:tc>
          <w:tcPr>
            <w:tcW w:w="971" w:type="dxa"/>
            <w:tcBorders>
              <w:tl2br w:val="nil"/>
              <w:tr2bl w:val="nil"/>
            </w:tcBorders>
            <w:vAlign w:val="center"/>
          </w:tcPr>
          <w:p w14:paraId="17909697"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15.2.03.131</w:t>
            </w:r>
          </w:p>
        </w:tc>
        <w:tc>
          <w:tcPr>
            <w:tcW w:w="1064" w:type="dxa"/>
            <w:tcBorders>
              <w:tl2br w:val="nil"/>
              <w:tr2bl w:val="nil"/>
            </w:tcBorders>
            <w:vAlign w:val="center"/>
          </w:tcPr>
          <w:p w14:paraId="20EDE105"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60DE3F34"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辅助系统设备设施类</w:t>
            </w:r>
          </w:p>
        </w:tc>
        <w:tc>
          <w:tcPr>
            <w:tcW w:w="2861" w:type="dxa"/>
            <w:tcBorders>
              <w:tl2br w:val="nil"/>
              <w:tr2bl w:val="nil"/>
            </w:tcBorders>
          </w:tcPr>
          <w:p w14:paraId="492B852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proofErr w:type="gramStart"/>
            <w:r w:rsidRPr="00EF4836">
              <w:rPr>
                <w:rFonts w:ascii="仿宋_GB2312" w:eastAsia="仿宋_GB2312" w:hAnsi="仿宋_GB2312" w:cs="仿宋_GB2312" w:hint="eastAsia"/>
                <w:color w:val="000000"/>
                <w:sz w:val="20"/>
                <w:szCs w:val="20"/>
              </w:rPr>
              <w:t>涉氢实验</w:t>
            </w:r>
            <w:proofErr w:type="gramEnd"/>
            <w:r w:rsidRPr="00EF4836">
              <w:rPr>
                <w:rFonts w:ascii="仿宋_GB2312" w:eastAsia="仿宋_GB2312" w:hAnsi="仿宋_GB2312" w:cs="仿宋_GB2312" w:hint="eastAsia"/>
                <w:color w:val="000000"/>
                <w:sz w:val="20"/>
                <w:szCs w:val="20"/>
              </w:rPr>
              <w:t>未落实实验前“双确认”的安全措施。在实验所需水、电、气源管路和信号采集线路连接完毕后，未安排一名实验人员逐项确认检查，检查结果全部正常后，复核人员启动实验活动前未开展二次确认检查。</w:t>
            </w:r>
          </w:p>
        </w:tc>
        <w:tc>
          <w:tcPr>
            <w:tcW w:w="3889" w:type="dxa"/>
            <w:tcBorders>
              <w:tl2br w:val="nil"/>
              <w:tr2bl w:val="nil"/>
            </w:tcBorders>
            <w:vAlign w:val="center"/>
          </w:tcPr>
          <w:p w14:paraId="25A1270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proofErr w:type="gramStart"/>
            <w:r w:rsidRPr="00EF4836">
              <w:rPr>
                <w:rFonts w:ascii="仿宋_GB2312" w:eastAsia="仿宋_GB2312" w:hAnsi="仿宋_GB2312" w:cs="仿宋_GB2312" w:hint="eastAsia"/>
                <w:color w:val="000000"/>
                <w:sz w:val="20"/>
                <w:szCs w:val="20"/>
              </w:rPr>
              <w:t>涉氢实验</w:t>
            </w:r>
            <w:proofErr w:type="gramEnd"/>
            <w:r w:rsidRPr="00EF4836">
              <w:rPr>
                <w:rFonts w:ascii="仿宋_GB2312" w:eastAsia="仿宋_GB2312" w:hAnsi="仿宋_GB2312" w:cs="仿宋_GB2312" w:hint="eastAsia"/>
                <w:color w:val="000000"/>
                <w:sz w:val="20"/>
                <w:szCs w:val="20"/>
              </w:rPr>
              <w:t>应落实实验前“双确认”的安全措施。在实验所需水、电、气源管路和信号采集线路连接完毕后，由一名实验人员逐项确认检查，检查结果全部正常后，复核人员开展二次确认检查，检查结果全部正常后，实验活动方可启动。</w:t>
            </w:r>
          </w:p>
        </w:tc>
        <w:tc>
          <w:tcPr>
            <w:tcW w:w="3868" w:type="dxa"/>
            <w:tcBorders>
              <w:tl2br w:val="nil"/>
              <w:tr2bl w:val="nil"/>
            </w:tcBorders>
            <w:vAlign w:val="center"/>
          </w:tcPr>
          <w:p w14:paraId="32621D6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1191.3-2024）第8.1.15条</w:t>
            </w:r>
          </w:p>
        </w:tc>
        <w:tc>
          <w:tcPr>
            <w:tcW w:w="376" w:type="dxa"/>
            <w:tcBorders>
              <w:tl2br w:val="nil"/>
              <w:tr2bl w:val="nil"/>
            </w:tcBorders>
          </w:tcPr>
          <w:p w14:paraId="790F535B"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26F112F6" w14:textId="77777777" w:rsidTr="008351BE">
        <w:trPr>
          <w:trHeight w:val="347"/>
          <w:jc w:val="center"/>
        </w:trPr>
        <w:tc>
          <w:tcPr>
            <w:tcW w:w="971" w:type="dxa"/>
            <w:tcBorders>
              <w:tl2br w:val="nil"/>
              <w:tr2bl w:val="nil"/>
            </w:tcBorders>
            <w:vAlign w:val="center"/>
          </w:tcPr>
          <w:p w14:paraId="30DB0E62"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15.2.03.132</w:t>
            </w:r>
          </w:p>
        </w:tc>
        <w:tc>
          <w:tcPr>
            <w:tcW w:w="1064" w:type="dxa"/>
            <w:tcBorders>
              <w:tl2br w:val="nil"/>
              <w:tr2bl w:val="nil"/>
            </w:tcBorders>
            <w:vAlign w:val="center"/>
          </w:tcPr>
          <w:p w14:paraId="5EC39420"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1016774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辅助系统设备设施类</w:t>
            </w:r>
          </w:p>
        </w:tc>
        <w:tc>
          <w:tcPr>
            <w:tcW w:w="2861" w:type="dxa"/>
            <w:tcBorders>
              <w:tl2br w:val="nil"/>
              <w:tr2bl w:val="nil"/>
            </w:tcBorders>
          </w:tcPr>
          <w:p w14:paraId="48E9B41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开展氢循环、加压、燃烧、爆破等危险度较高</w:t>
            </w:r>
            <w:proofErr w:type="gramStart"/>
            <w:r w:rsidRPr="00EF4836">
              <w:rPr>
                <w:rFonts w:ascii="仿宋_GB2312" w:eastAsia="仿宋_GB2312" w:hAnsi="仿宋_GB2312" w:cs="仿宋_GB2312" w:hint="eastAsia"/>
                <w:color w:val="000000"/>
                <w:sz w:val="20"/>
                <w:szCs w:val="20"/>
              </w:rPr>
              <w:t>的涉氢实验</w:t>
            </w:r>
            <w:proofErr w:type="gramEnd"/>
            <w:r w:rsidRPr="00EF4836">
              <w:rPr>
                <w:rFonts w:ascii="仿宋_GB2312" w:eastAsia="仿宋_GB2312" w:hAnsi="仿宋_GB2312" w:cs="仿宋_GB2312" w:hint="eastAsia"/>
                <w:color w:val="000000"/>
                <w:sz w:val="20"/>
                <w:szCs w:val="20"/>
              </w:rPr>
              <w:t>时，未禁止人员进入实验区。未在</w:t>
            </w:r>
            <w:r w:rsidRPr="00EF4836">
              <w:rPr>
                <w:rFonts w:ascii="仿宋_GB2312" w:eastAsia="仿宋_GB2312" w:hAnsi="仿宋_GB2312" w:cs="仿宋_GB2312" w:hint="eastAsia"/>
                <w:color w:val="000000"/>
                <w:sz w:val="20"/>
                <w:szCs w:val="20"/>
              </w:rPr>
              <w:lastRenderedPageBreak/>
              <w:t>进入实验区的门上明显位置张贴或悬挂警示标志，未启用门禁等设施限制人员进入。</w:t>
            </w:r>
          </w:p>
        </w:tc>
        <w:tc>
          <w:tcPr>
            <w:tcW w:w="3889" w:type="dxa"/>
            <w:tcBorders>
              <w:tl2br w:val="nil"/>
              <w:tr2bl w:val="nil"/>
            </w:tcBorders>
            <w:vAlign w:val="center"/>
          </w:tcPr>
          <w:p w14:paraId="48AF523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开展氢循环、加压、燃烧、爆破等危险度较高</w:t>
            </w:r>
            <w:proofErr w:type="gramStart"/>
            <w:r w:rsidRPr="00EF4836">
              <w:rPr>
                <w:rFonts w:ascii="仿宋_GB2312" w:eastAsia="仿宋_GB2312" w:hAnsi="仿宋_GB2312" w:cs="仿宋_GB2312" w:hint="eastAsia"/>
                <w:color w:val="000000"/>
                <w:sz w:val="20"/>
                <w:szCs w:val="20"/>
              </w:rPr>
              <w:t>的涉氢实验</w:t>
            </w:r>
            <w:proofErr w:type="gramEnd"/>
            <w:r w:rsidRPr="00EF4836">
              <w:rPr>
                <w:rFonts w:ascii="仿宋_GB2312" w:eastAsia="仿宋_GB2312" w:hAnsi="仿宋_GB2312" w:cs="仿宋_GB2312" w:hint="eastAsia"/>
                <w:color w:val="000000"/>
                <w:sz w:val="20"/>
                <w:szCs w:val="20"/>
              </w:rPr>
              <w:t>时，实验区禁止人员进入。在进入实验区的门上明显位置张贴或悬挂警</w:t>
            </w:r>
            <w:r w:rsidRPr="00EF4836">
              <w:rPr>
                <w:rFonts w:ascii="仿宋_GB2312" w:eastAsia="仿宋_GB2312" w:hAnsi="仿宋_GB2312" w:cs="仿宋_GB2312" w:hint="eastAsia"/>
                <w:color w:val="000000"/>
                <w:sz w:val="20"/>
                <w:szCs w:val="20"/>
              </w:rPr>
              <w:lastRenderedPageBreak/>
              <w:t>示标志并启用门禁等设施限制人员进入。</w:t>
            </w:r>
          </w:p>
        </w:tc>
        <w:tc>
          <w:tcPr>
            <w:tcW w:w="3868" w:type="dxa"/>
            <w:tcBorders>
              <w:tl2br w:val="nil"/>
              <w:tr2bl w:val="nil"/>
            </w:tcBorders>
            <w:vAlign w:val="center"/>
          </w:tcPr>
          <w:p w14:paraId="08F0E83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《实验室危险化学品安全管理要求 第3部分：科研单位》（DB11/T 1191.3-2024）第8.1.16条</w:t>
            </w:r>
          </w:p>
        </w:tc>
        <w:tc>
          <w:tcPr>
            <w:tcW w:w="376" w:type="dxa"/>
            <w:tcBorders>
              <w:tl2br w:val="nil"/>
              <w:tr2bl w:val="nil"/>
            </w:tcBorders>
          </w:tcPr>
          <w:p w14:paraId="1D0A15BF"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1C023BF6" w14:textId="77777777" w:rsidTr="008351BE">
        <w:trPr>
          <w:trHeight w:val="347"/>
          <w:jc w:val="center"/>
        </w:trPr>
        <w:tc>
          <w:tcPr>
            <w:tcW w:w="971" w:type="dxa"/>
            <w:tcBorders>
              <w:tl2br w:val="nil"/>
              <w:tr2bl w:val="nil"/>
            </w:tcBorders>
            <w:vAlign w:val="center"/>
          </w:tcPr>
          <w:p w14:paraId="0971214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15.3.02.133</w:t>
            </w:r>
          </w:p>
        </w:tc>
        <w:tc>
          <w:tcPr>
            <w:tcW w:w="1064" w:type="dxa"/>
            <w:tcBorders>
              <w:tl2br w:val="nil"/>
              <w:tr2bl w:val="nil"/>
            </w:tcBorders>
            <w:vAlign w:val="center"/>
          </w:tcPr>
          <w:p w14:paraId="5416D705"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人员类</w:t>
            </w:r>
          </w:p>
        </w:tc>
        <w:tc>
          <w:tcPr>
            <w:tcW w:w="1089" w:type="dxa"/>
            <w:tcBorders>
              <w:tl2br w:val="nil"/>
              <w:tr2bl w:val="nil"/>
            </w:tcBorders>
            <w:vAlign w:val="center"/>
          </w:tcPr>
          <w:p w14:paraId="0B43AB1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操作行为类</w:t>
            </w:r>
          </w:p>
        </w:tc>
        <w:tc>
          <w:tcPr>
            <w:tcW w:w="2861" w:type="dxa"/>
            <w:tcBorders>
              <w:tl2br w:val="nil"/>
              <w:tr2bl w:val="nil"/>
            </w:tcBorders>
            <w:vAlign w:val="center"/>
          </w:tcPr>
          <w:p w14:paraId="3E06734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科研项目未遵循从小试到中试的程序，擅自进行扩大性试验。</w:t>
            </w:r>
          </w:p>
          <w:p w14:paraId="18807AC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实验室开展中试性质或工业放大性质的实验研究。</w:t>
            </w:r>
          </w:p>
        </w:tc>
        <w:tc>
          <w:tcPr>
            <w:tcW w:w="3889" w:type="dxa"/>
            <w:tcBorders>
              <w:tl2br w:val="nil"/>
              <w:tr2bl w:val="nil"/>
            </w:tcBorders>
            <w:vAlign w:val="center"/>
          </w:tcPr>
          <w:p w14:paraId="13F2E8E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科研项目应遵循从小试到中试的程序，必要时应进行扩大性试验。</w:t>
            </w:r>
          </w:p>
          <w:p w14:paraId="68DEB49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实验室不应开展中试性质或工业放大性质的实验研究。</w:t>
            </w:r>
          </w:p>
        </w:tc>
        <w:tc>
          <w:tcPr>
            <w:tcW w:w="3868" w:type="dxa"/>
            <w:tcBorders>
              <w:tl2br w:val="nil"/>
              <w:tr2bl w:val="nil"/>
            </w:tcBorders>
            <w:vAlign w:val="center"/>
          </w:tcPr>
          <w:p w14:paraId="42C4208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1191.2-2025）第7.5.9条；</w:t>
            </w:r>
          </w:p>
          <w:p w14:paraId="792018E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1191.3-2024）第8.1.17条；</w:t>
            </w:r>
          </w:p>
        </w:tc>
        <w:tc>
          <w:tcPr>
            <w:tcW w:w="376" w:type="dxa"/>
            <w:tcBorders>
              <w:tl2br w:val="nil"/>
              <w:tr2bl w:val="nil"/>
            </w:tcBorders>
          </w:tcPr>
          <w:p w14:paraId="5F676107"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6D39942A" w14:textId="77777777" w:rsidTr="008351BE">
        <w:trPr>
          <w:trHeight w:val="347"/>
          <w:jc w:val="center"/>
        </w:trPr>
        <w:tc>
          <w:tcPr>
            <w:tcW w:w="971" w:type="dxa"/>
            <w:tcBorders>
              <w:tl2br w:val="nil"/>
              <w:tr2bl w:val="nil"/>
            </w:tcBorders>
            <w:vAlign w:val="center"/>
          </w:tcPr>
          <w:p w14:paraId="1CC30DD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15.1.07.134</w:t>
            </w:r>
          </w:p>
        </w:tc>
        <w:tc>
          <w:tcPr>
            <w:tcW w:w="1064" w:type="dxa"/>
            <w:tcBorders>
              <w:tl2br w:val="nil"/>
              <w:tr2bl w:val="nil"/>
            </w:tcBorders>
            <w:vAlign w:val="center"/>
          </w:tcPr>
          <w:p w14:paraId="01F75AF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基础资料类</w:t>
            </w:r>
          </w:p>
        </w:tc>
        <w:tc>
          <w:tcPr>
            <w:tcW w:w="1089" w:type="dxa"/>
            <w:tcBorders>
              <w:tl2br w:val="nil"/>
              <w:tr2bl w:val="nil"/>
            </w:tcBorders>
            <w:vAlign w:val="center"/>
          </w:tcPr>
          <w:p w14:paraId="09693F0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风险辨识类</w:t>
            </w:r>
          </w:p>
        </w:tc>
        <w:tc>
          <w:tcPr>
            <w:tcW w:w="2861" w:type="dxa"/>
            <w:tcBorders>
              <w:tl2br w:val="nil"/>
              <w:tr2bl w:val="nil"/>
            </w:tcBorders>
          </w:tcPr>
          <w:p w14:paraId="25A390B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新产品试制未进行安全风险评估，未落实风险管控措施。安全风险评估</w:t>
            </w:r>
            <w:proofErr w:type="gramStart"/>
            <w:r w:rsidRPr="00EF4836">
              <w:rPr>
                <w:rFonts w:ascii="仿宋_GB2312" w:eastAsia="仿宋_GB2312" w:hAnsi="仿宋_GB2312" w:cs="仿宋_GB2312" w:hint="eastAsia"/>
                <w:color w:val="000000"/>
                <w:sz w:val="20"/>
                <w:szCs w:val="20"/>
              </w:rPr>
              <w:t>未分析</w:t>
            </w:r>
            <w:proofErr w:type="gramEnd"/>
            <w:r w:rsidRPr="00EF4836">
              <w:rPr>
                <w:rFonts w:ascii="仿宋_GB2312" w:eastAsia="仿宋_GB2312" w:hAnsi="仿宋_GB2312" w:cs="仿宋_GB2312" w:hint="eastAsia"/>
                <w:color w:val="000000"/>
                <w:sz w:val="20"/>
                <w:szCs w:val="20"/>
              </w:rPr>
              <w:t>实验所用原料、辅料、中间产品、产品和副产品的有关理化特性，未辨识实验过程中的危害因素，未提出有效的防范措施。</w:t>
            </w:r>
          </w:p>
        </w:tc>
        <w:tc>
          <w:tcPr>
            <w:tcW w:w="3889" w:type="dxa"/>
            <w:tcBorders>
              <w:tl2br w:val="nil"/>
              <w:tr2bl w:val="nil"/>
            </w:tcBorders>
            <w:vAlign w:val="center"/>
          </w:tcPr>
          <w:p w14:paraId="0EF47F0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新产品试制应进行安全风险评估，并落实风险管控措施。安全风险评估应分析实验所用原料、辅料、中间产品、产品和副产品的有关理化特性，辨识实验过程中的危害因素，提出有效的防范措施。</w:t>
            </w:r>
          </w:p>
        </w:tc>
        <w:tc>
          <w:tcPr>
            <w:tcW w:w="3868" w:type="dxa"/>
            <w:tcBorders>
              <w:tl2br w:val="nil"/>
              <w:tr2bl w:val="nil"/>
            </w:tcBorders>
            <w:vAlign w:val="center"/>
          </w:tcPr>
          <w:p w14:paraId="54BA6BC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1191.3-2024）第8.1.18条</w:t>
            </w:r>
          </w:p>
        </w:tc>
        <w:tc>
          <w:tcPr>
            <w:tcW w:w="376" w:type="dxa"/>
            <w:tcBorders>
              <w:tl2br w:val="nil"/>
              <w:tr2bl w:val="nil"/>
            </w:tcBorders>
          </w:tcPr>
          <w:p w14:paraId="0EC66C68"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417178A3" w14:textId="77777777" w:rsidTr="008351BE">
        <w:trPr>
          <w:trHeight w:val="347"/>
          <w:jc w:val="center"/>
        </w:trPr>
        <w:tc>
          <w:tcPr>
            <w:tcW w:w="971" w:type="dxa"/>
            <w:tcBorders>
              <w:tl2br w:val="nil"/>
              <w:tr2bl w:val="nil"/>
            </w:tcBorders>
            <w:vAlign w:val="center"/>
          </w:tcPr>
          <w:p w14:paraId="54F60CE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15.3.02.135</w:t>
            </w:r>
          </w:p>
        </w:tc>
        <w:tc>
          <w:tcPr>
            <w:tcW w:w="1064" w:type="dxa"/>
            <w:tcBorders>
              <w:tl2br w:val="nil"/>
              <w:tr2bl w:val="nil"/>
            </w:tcBorders>
            <w:vAlign w:val="center"/>
          </w:tcPr>
          <w:p w14:paraId="7E5A3802"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人员类</w:t>
            </w:r>
          </w:p>
        </w:tc>
        <w:tc>
          <w:tcPr>
            <w:tcW w:w="1089" w:type="dxa"/>
            <w:tcBorders>
              <w:tl2br w:val="nil"/>
              <w:tr2bl w:val="nil"/>
            </w:tcBorders>
            <w:vAlign w:val="center"/>
          </w:tcPr>
          <w:p w14:paraId="66239E1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操作行为类</w:t>
            </w:r>
          </w:p>
        </w:tc>
        <w:tc>
          <w:tcPr>
            <w:tcW w:w="2861" w:type="dxa"/>
            <w:tcBorders>
              <w:tl2br w:val="nil"/>
              <w:tr2bl w:val="nil"/>
            </w:tcBorders>
            <w:vAlign w:val="center"/>
          </w:tcPr>
          <w:p w14:paraId="7F757BE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科研单位实验室首次投料及投料实验初期，项目负责人、技术负责人和安全管理人员</w:t>
            </w:r>
            <w:proofErr w:type="gramStart"/>
            <w:r w:rsidRPr="00EF4836">
              <w:rPr>
                <w:rFonts w:ascii="仿宋_GB2312" w:eastAsia="仿宋_GB2312" w:hAnsi="仿宋_GB2312" w:cs="仿宋_GB2312" w:hint="eastAsia"/>
                <w:color w:val="000000"/>
                <w:sz w:val="20"/>
                <w:szCs w:val="20"/>
              </w:rPr>
              <w:t>擅</w:t>
            </w:r>
            <w:proofErr w:type="gramEnd"/>
            <w:r w:rsidRPr="00EF4836">
              <w:rPr>
                <w:rFonts w:ascii="仿宋_GB2312" w:eastAsia="仿宋_GB2312" w:hAnsi="仿宋_GB2312" w:cs="仿宋_GB2312" w:hint="eastAsia"/>
                <w:color w:val="000000"/>
                <w:sz w:val="20"/>
                <w:szCs w:val="20"/>
              </w:rPr>
              <w:t>离岗位。遇有异常情况，未及时停止实验并采取相应措施，确认安全后再继续实验。</w:t>
            </w:r>
          </w:p>
        </w:tc>
        <w:tc>
          <w:tcPr>
            <w:tcW w:w="3889" w:type="dxa"/>
            <w:tcBorders>
              <w:tl2br w:val="nil"/>
              <w:tr2bl w:val="nil"/>
            </w:tcBorders>
            <w:vAlign w:val="center"/>
          </w:tcPr>
          <w:p w14:paraId="591F1DB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首次投料及投料实验初期，项目负责人、技术负责人和安全管理人员不得</w:t>
            </w:r>
            <w:proofErr w:type="gramStart"/>
            <w:r w:rsidRPr="00EF4836">
              <w:rPr>
                <w:rFonts w:ascii="仿宋_GB2312" w:eastAsia="仿宋_GB2312" w:hAnsi="仿宋_GB2312" w:cs="仿宋_GB2312" w:hint="eastAsia"/>
                <w:color w:val="000000"/>
                <w:sz w:val="20"/>
                <w:szCs w:val="20"/>
              </w:rPr>
              <w:t>擅</w:t>
            </w:r>
            <w:proofErr w:type="gramEnd"/>
            <w:r w:rsidRPr="00EF4836">
              <w:rPr>
                <w:rFonts w:ascii="仿宋_GB2312" w:eastAsia="仿宋_GB2312" w:hAnsi="仿宋_GB2312" w:cs="仿宋_GB2312" w:hint="eastAsia"/>
                <w:color w:val="000000"/>
                <w:sz w:val="20"/>
                <w:szCs w:val="20"/>
              </w:rPr>
              <w:t>离岗位。遇有异常情况，应及时停止实验并采取相应措施，确认安全后再继续实验。</w:t>
            </w:r>
          </w:p>
        </w:tc>
        <w:tc>
          <w:tcPr>
            <w:tcW w:w="3868" w:type="dxa"/>
            <w:tcBorders>
              <w:tl2br w:val="nil"/>
              <w:tr2bl w:val="nil"/>
            </w:tcBorders>
            <w:vAlign w:val="center"/>
          </w:tcPr>
          <w:p w14:paraId="19C2E1F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1191.3-2024）第8.1.19条</w:t>
            </w:r>
          </w:p>
        </w:tc>
        <w:tc>
          <w:tcPr>
            <w:tcW w:w="376" w:type="dxa"/>
            <w:tcBorders>
              <w:tl2br w:val="nil"/>
              <w:tr2bl w:val="nil"/>
            </w:tcBorders>
          </w:tcPr>
          <w:p w14:paraId="6462E82A"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6700B603" w14:textId="77777777" w:rsidTr="008351BE">
        <w:trPr>
          <w:trHeight w:val="347"/>
          <w:jc w:val="center"/>
        </w:trPr>
        <w:tc>
          <w:tcPr>
            <w:tcW w:w="971" w:type="dxa"/>
            <w:tcBorders>
              <w:tl2br w:val="nil"/>
              <w:tr2bl w:val="nil"/>
            </w:tcBorders>
            <w:vAlign w:val="center"/>
          </w:tcPr>
          <w:p w14:paraId="392DD5D7"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15.3.02.136</w:t>
            </w:r>
          </w:p>
        </w:tc>
        <w:tc>
          <w:tcPr>
            <w:tcW w:w="1064" w:type="dxa"/>
            <w:tcBorders>
              <w:tl2br w:val="nil"/>
              <w:tr2bl w:val="nil"/>
            </w:tcBorders>
            <w:vAlign w:val="center"/>
          </w:tcPr>
          <w:p w14:paraId="2E715DA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人员类</w:t>
            </w:r>
          </w:p>
        </w:tc>
        <w:tc>
          <w:tcPr>
            <w:tcW w:w="1089" w:type="dxa"/>
            <w:tcBorders>
              <w:tl2br w:val="nil"/>
              <w:tr2bl w:val="nil"/>
            </w:tcBorders>
            <w:vAlign w:val="center"/>
          </w:tcPr>
          <w:p w14:paraId="4E232450"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操作行为类</w:t>
            </w:r>
          </w:p>
        </w:tc>
        <w:tc>
          <w:tcPr>
            <w:tcW w:w="2861" w:type="dxa"/>
            <w:tcBorders>
              <w:tl2br w:val="nil"/>
              <w:tr2bl w:val="nil"/>
            </w:tcBorders>
            <w:vAlign w:val="center"/>
          </w:tcPr>
          <w:p w14:paraId="3534FDE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危险化学品的移取、称量，未根据其危险特性，在通风橱、平衡通风罩、手套箱或特定的区域进行。</w:t>
            </w:r>
          </w:p>
        </w:tc>
        <w:tc>
          <w:tcPr>
            <w:tcW w:w="3889" w:type="dxa"/>
            <w:tcBorders>
              <w:tl2br w:val="nil"/>
              <w:tr2bl w:val="nil"/>
            </w:tcBorders>
            <w:vAlign w:val="center"/>
          </w:tcPr>
          <w:p w14:paraId="4CFE90B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危险化学品的移取、称量，应根据其危险特性，在通风橱、平衡通风罩、手套箱或特定的区域进行。</w:t>
            </w:r>
          </w:p>
        </w:tc>
        <w:tc>
          <w:tcPr>
            <w:tcW w:w="3868" w:type="dxa"/>
            <w:tcBorders>
              <w:tl2br w:val="nil"/>
              <w:tr2bl w:val="nil"/>
            </w:tcBorders>
            <w:vAlign w:val="center"/>
          </w:tcPr>
          <w:p w14:paraId="5D03977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1191.2-2025）第7.5.4条</w:t>
            </w:r>
          </w:p>
        </w:tc>
        <w:tc>
          <w:tcPr>
            <w:tcW w:w="376" w:type="dxa"/>
            <w:tcBorders>
              <w:tl2br w:val="nil"/>
              <w:tr2bl w:val="nil"/>
            </w:tcBorders>
          </w:tcPr>
          <w:p w14:paraId="6DD6DD9D"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2983B279" w14:textId="77777777" w:rsidTr="008351BE">
        <w:trPr>
          <w:trHeight w:val="347"/>
          <w:jc w:val="center"/>
        </w:trPr>
        <w:tc>
          <w:tcPr>
            <w:tcW w:w="971" w:type="dxa"/>
            <w:tcBorders>
              <w:tl2br w:val="nil"/>
              <w:tr2bl w:val="nil"/>
            </w:tcBorders>
            <w:vAlign w:val="center"/>
          </w:tcPr>
          <w:p w14:paraId="2153732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15.3.02.137</w:t>
            </w:r>
          </w:p>
        </w:tc>
        <w:tc>
          <w:tcPr>
            <w:tcW w:w="1064" w:type="dxa"/>
            <w:tcBorders>
              <w:tl2br w:val="nil"/>
              <w:tr2bl w:val="nil"/>
            </w:tcBorders>
            <w:vAlign w:val="center"/>
          </w:tcPr>
          <w:p w14:paraId="19762FE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人员类</w:t>
            </w:r>
          </w:p>
        </w:tc>
        <w:tc>
          <w:tcPr>
            <w:tcW w:w="1089" w:type="dxa"/>
            <w:tcBorders>
              <w:tl2br w:val="nil"/>
              <w:tr2bl w:val="nil"/>
            </w:tcBorders>
            <w:vAlign w:val="center"/>
          </w:tcPr>
          <w:p w14:paraId="6618B7B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操作行为类</w:t>
            </w:r>
          </w:p>
        </w:tc>
        <w:tc>
          <w:tcPr>
            <w:tcW w:w="2861" w:type="dxa"/>
            <w:tcBorders>
              <w:tl2br w:val="nil"/>
              <w:tr2bl w:val="nil"/>
            </w:tcBorders>
            <w:vAlign w:val="center"/>
          </w:tcPr>
          <w:p w14:paraId="5D4CB88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在密闭场所使用易燃溶剂擦拭、清洗设备、部件，场所内有</w:t>
            </w:r>
            <w:r w:rsidRPr="00EF4836">
              <w:rPr>
                <w:rFonts w:ascii="仿宋_GB2312" w:eastAsia="仿宋_GB2312" w:hAnsi="仿宋_GB2312" w:cs="仿宋_GB2312" w:hint="eastAsia"/>
                <w:color w:val="000000"/>
                <w:sz w:val="20"/>
                <w:szCs w:val="20"/>
              </w:rPr>
              <w:lastRenderedPageBreak/>
              <w:t>点火源。</w:t>
            </w:r>
          </w:p>
        </w:tc>
        <w:tc>
          <w:tcPr>
            <w:tcW w:w="3889" w:type="dxa"/>
            <w:tcBorders>
              <w:tl2br w:val="nil"/>
              <w:tr2bl w:val="nil"/>
            </w:tcBorders>
            <w:vAlign w:val="center"/>
          </w:tcPr>
          <w:p w14:paraId="6350E79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不应在密闭场所使用易燃溶剂擦拭、清洗设备、部件，场所内不应有点火源。</w:t>
            </w:r>
          </w:p>
        </w:tc>
        <w:tc>
          <w:tcPr>
            <w:tcW w:w="3868" w:type="dxa"/>
            <w:tcBorders>
              <w:tl2br w:val="nil"/>
              <w:tr2bl w:val="nil"/>
            </w:tcBorders>
            <w:vAlign w:val="center"/>
          </w:tcPr>
          <w:p w14:paraId="31D17B0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第2部分：普通高等学校》（DB11/T 1191.2-2025）</w:t>
            </w:r>
            <w:r w:rsidRPr="00EF4836">
              <w:rPr>
                <w:rFonts w:ascii="仿宋_GB2312" w:eastAsia="仿宋_GB2312" w:hAnsi="仿宋_GB2312" w:cs="仿宋_GB2312" w:hint="eastAsia"/>
                <w:color w:val="000000"/>
                <w:sz w:val="20"/>
                <w:szCs w:val="20"/>
              </w:rPr>
              <w:lastRenderedPageBreak/>
              <w:t>第7.5.6条</w:t>
            </w:r>
          </w:p>
        </w:tc>
        <w:tc>
          <w:tcPr>
            <w:tcW w:w="376" w:type="dxa"/>
            <w:tcBorders>
              <w:tl2br w:val="nil"/>
              <w:tr2bl w:val="nil"/>
            </w:tcBorders>
          </w:tcPr>
          <w:p w14:paraId="4C6A6A7A"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4D625CB7" w14:textId="77777777" w:rsidTr="008351BE">
        <w:trPr>
          <w:trHeight w:val="347"/>
          <w:jc w:val="center"/>
        </w:trPr>
        <w:tc>
          <w:tcPr>
            <w:tcW w:w="971" w:type="dxa"/>
            <w:tcBorders>
              <w:tl2br w:val="nil"/>
              <w:tr2bl w:val="nil"/>
            </w:tcBorders>
            <w:vAlign w:val="center"/>
          </w:tcPr>
          <w:p w14:paraId="3C6291DE"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15.2.09.138</w:t>
            </w:r>
          </w:p>
        </w:tc>
        <w:tc>
          <w:tcPr>
            <w:tcW w:w="1064" w:type="dxa"/>
            <w:tcBorders>
              <w:tl2br w:val="nil"/>
              <w:tr2bl w:val="nil"/>
            </w:tcBorders>
            <w:vAlign w:val="center"/>
          </w:tcPr>
          <w:p w14:paraId="2C82B72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2DBA4F2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监控系统类</w:t>
            </w:r>
          </w:p>
        </w:tc>
        <w:tc>
          <w:tcPr>
            <w:tcW w:w="2861" w:type="dxa"/>
            <w:tcBorders>
              <w:tl2br w:val="nil"/>
              <w:tr2bl w:val="nil"/>
            </w:tcBorders>
            <w:vAlign w:val="center"/>
          </w:tcPr>
          <w:p w14:paraId="5F7A82A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实验设备的报警数据、设备启</w:t>
            </w:r>
            <w:proofErr w:type="gramStart"/>
            <w:r w:rsidRPr="00EF4836">
              <w:rPr>
                <w:rFonts w:ascii="仿宋_GB2312" w:eastAsia="仿宋_GB2312" w:hAnsi="仿宋_GB2312" w:cs="仿宋_GB2312" w:hint="eastAsia"/>
                <w:color w:val="000000"/>
                <w:sz w:val="20"/>
                <w:szCs w:val="20"/>
              </w:rPr>
              <w:t>停状态</w:t>
            </w:r>
            <w:proofErr w:type="gramEnd"/>
            <w:r w:rsidRPr="00EF4836">
              <w:rPr>
                <w:rFonts w:ascii="仿宋_GB2312" w:eastAsia="仿宋_GB2312" w:hAnsi="仿宋_GB2312" w:cs="仿宋_GB2312" w:hint="eastAsia"/>
                <w:color w:val="000000"/>
                <w:sz w:val="20"/>
                <w:szCs w:val="20"/>
              </w:rPr>
              <w:t>数据未建立报警处置记录本，记录的报警未处置未闭环。</w:t>
            </w:r>
          </w:p>
          <w:p w14:paraId="79F2F61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未接入智慧实验室安全管控平台，不支持信息查询、可视化展示及多维度统计分析，未实现对实验设备的实时监测、报警管理和报警分析等功能。</w:t>
            </w:r>
          </w:p>
        </w:tc>
        <w:tc>
          <w:tcPr>
            <w:tcW w:w="3889" w:type="dxa"/>
            <w:tcBorders>
              <w:tl2br w:val="nil"/>
              <w:tr2bl w:val="nil"/>
            </w:tcBorders>
            <w:vAlign w:val="center"/>
          </w:tcPr>
          <w:p w14:paraId="78D7BDB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实验设备的报警数据、设备启</w:t>
            </w:r>
            <w:proofErr w:type="gramStart"/>
            <w:r w:rsidRPr="00EF4836">
              <w:rPr>
                <w:rFonts w:ascii="仿宋_GB2312" w:eastAsia="仿宋_GB2312" w:hAnsi="仿宋_GB2312" w:cs="仿宋_GB2312" w:hint="eastAsia"/>
                <w:color w:val="000000"/>
                <w:sz w:val="20"/>
                <w:szCs w:val="20"/>
              </w:rPr>
              <w:t>停状态</w:t>
            </w:r>
            <w:proofErr w:type="gramEnd"/>
            <w:r w:rsidRPr="00EF4836">
              <w:rPr>
                <w:rFonts w:ascii="仿宋_GB2312" w:eastAsia="仿宋_GB2312" w:hAnsi="仿宋_GB2312" w:cs="仿宋_GB2312" w:hint="eastAsia"/>
                <w:color w:val="000000"/>
                <w:sz w:val="20"/>
                <w:szCs w:val="20"/>
              </w:rPr>
              <w:t>数据宜接入智慧实验室安全管控平台，支持信息查询、可视化展示及多维度统计分析，实现对实验设备的实时监测、报警管理和报警分析等功能。</w:t>
            </w:r>
          </w:p>
        </w:tc>
        <w:tc>
          <w:tcPr>
            <w:tcW w:w="3868" w:type="dxa"/>
            <w:tcBorders>
              <w:tl2br w:val="nil"/>
              <w:tr2bl w:val="nil"/>
            </w:tcBorders>
            <w:vAlign w:val="center"/>
          </w:tcPr>
          <w:p w14:paraId="0797501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《安全生产等级评定技术规范第2部分：安全生产通用要求》（DB11/T 1322.2-2017）第3.1.7.3条；</w:t>
            </w:r>
          </w:p>
          <w:p w14:paraId="52E80DA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1191.3-2024）第8.2.10条</w:t>
            </w:r>
          </w:p>
        </w:tc>
        <w:tc>
          <w:tcPr>
            <w:tcW w:w="376" w:type="dxa"/>
            <w:tcBorders>
              <w:tl2br w:val="nil"/>
              <w:tr2bl w:val="nil"/>
            </w:tcBorders>
          </w:tcPr>
          <w:p w14:paraId="2B61435F"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p>
        </w:tc>
      </w:tr>
      <w:tr w:rsidR="00EF4836" w:rsidRPr="00EF4836" w14:paraId="2CF34D67" w14:textId="77777777" w:rsidTr="008351BE">
        <w:trPr>
          <w:trHeight w:val="347"/>
          <w:jc w:val="center"/>
        </w:trPr>
        <w:tc>
          <w:tcPr>
            <w:tcW w:w="971" w:type="dxa"/>
            <w:tcBorders>
              <w:tl2br w:val="nil"/>
              <w:tr2bl w:val="nil"/>
            </w:tcBorders>
            <w:vAlign w:val="center"/>
          </w:tcPr>
          <w:p w14:paraId="518BC414"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15.2.09.139</w:t>
            </w:r>
          </w:p>
        </w:tc>
        <w:tc>
          <w:tcPr>
            <w:tcW w:w="1064" w:type="dxa"/>
            <w:tcBorders>
              <w:tl2br w:val="nil"/>
              <w:tr2bl w:val="nil"/>
            </w:tcBorders>
            <w:vAlign w:val="center"/>
          </w:tcPr>
          <w:p w14:paraId="79EE06C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3B882158"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监控系统类</w:t>
            </w:r>
          </w:p>
        </w:tc>
        <w:tc>
          <w:tcPr>
            <w:tcW w:w="2861" w:type="dxa"/>
            <w:tcBorders>
              <w:tl2br w:val="nil"/>
              <w:tr2bl w:val="nil"/>
            </w:tcBorders>
            <w:vAlign w:val="center"/>
          </w:tcPr>
          <w:p w14:paraId="7074076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可燃、有毒气体及氧气探测器未定期检定或校准，周期超过1年。</w:t>
            </w:r>
          </w:p>
          <w:p w14:paraId="2E4D03D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未按法律法规以及行业标准、安全技术规范等规定要求落实重大设施设备（包括存储剧毒、易制</w:t>
            </w:r>
            <w:proofErr w:type="gramStart"/>
            <w:r w:rsidRPr="00EF4836">
              <w:rPr>
                <w:rFonts w:ascii="仿宋_GB2312" w:eastAsia="仿宋_GB2312" w:hAnsi="仿宋_GB2312" w:cs="仿宋_GB2312" w:hint="eastAsia"/>
                <w:color w:val="000000"/>
                <w:sz w:val="20"/>
                <w:szCs w:val="20"/>
              </w:rPr>
              <w:t>爆</w:t>
            </w:r>
            <w:proofErr w:type="gramEnd"/>
            <w:r w:rsidRPr="00EF4836">
              <w:rPr>
                <w:rFonts w:ascii="仿宋_GB2312" w:eastAsia="仿宋_GB2312" w:hAnsi="仿宋_GB2312" w:cs="仿宋_GB2312" w:hint="eastAsia"/>
                <w:color w:val="000000"/>
                <w:sz w:val="20"/>
                <w:szCs w:val="20"/>
              </w:rPr>
              <w:t>化学品，</w:t>
            </w:r>
            <w:proofErr w:type="gramStart"/>
            <w:r w:rsidRPr="00EF4836">
              <w:rPr>
                <w:rFonts w:ascii="仿宋_GB2312" w:eastAsia="仿宋_GB2312" w:hAnsi="仿宋_GB2312" w:cs="仿宋_GB2312" w:hint="eastAsia"/>
                <w:color w:val="000000"/>
                <w:sz w:val="20"/>
                <w:szCs w:val="20"/>
              </w:rPr>
              <w:t>危废贮存</w:t>
            </w:r>
            <w:proofErr w:type="gramEnd"/>
            <w:r w:rsidRPr="00EF4836">
              <w:rPr>
                <w:rFonts w:ascii="仿宋_GB2312" w:eastAsia="仿宋_GB2312" w:hAnsi="仿宋_GB2312" w:cs="仿宋_GB2312" w:hint="eastAsia"/>
                <w:color w:val="000000"/>
                <w:sz w:val="20"/>
                <w:szCs w:val="20"/>
              </w:rPr>
              <w:t>站，备案生物实验室，</w:t>
            </w:r>
            <w:proofErr w:type="gramStart"/>
            <w:r w:rsidRPr="00EF4836">
              <w:rPr>
                <w:rFonts w:ascii="仿宋_GB2312" w:eastAsia="仿宋_GB2312" w:hAnsi="仿宋_GB2312" w:cs="仿宋_GB2312" w:hint="eastAsia"/>
                <w:color w:val="000000"/>
                <w:sz w:val="20"/>
                <w:szCs w:val="20"/>
              </w:rPr>
              <w:t>涉源场所</w:t>
            </w:r>
            <w:proofErr w:type="gramEnd"/>
            <w:r w:rsidRPr="00EF4836">
              <w:rPr>
                <w:rFonts w:ascii="仿宋_GB2312" w:eastAsia="仿宋_GB2312" w:hAnsi="仿宋_GB2312" w:cs="仿宋_GB2312" w:hint="eastAsia"/>
                <w:color w:val="000000"/>
                <w:sz w:val="20"/>
                <w:szCs w:val="20"/>
              </w:rPr>
              <w:t>，特种设备等设施设备）定期环评、检测、监测、维保。</w:t>
            </w:r>
          </w:p>
        </w:tc>
        <w:tc>
          <w:tcPr>
            <w:tcW w:w="3889" w:type="dxa"/>
            <w:tcBorders>
              <w:tl2br w:val="nil"/>
              <w:tr2bl w:val="nil"/>
            </w:tcBorders>
            <w:vAlign w:val="center"/>
          </w:tcPr>
          <w:p w14:paraId="5B9907A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气体探测器应定期检定或校准，周期应不超过1年。</w:t>
            </w:r>
          </w:p>
          <w:p w14:paraId="18C8570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第六条（八）未按法律法规以及行业标准、安全技术规范等规定要求落实重大设施设备（包括存储剧毒、易制</w:t>
            </w:r>
            <w:proofErr w:type="gramStart"/>
            <w:r w:rsidRPr="00EF4836">
              <w:rPr>
                <w:rFonts w:ascii="仿宋_GB2312" w:eastAsia="仿宋_GB2312" w:hAnsi="仿宋_GB2312" w:cs="仿宋_GB2312" w:hint="eastAsia"/>
                <w:color w:val="000000"/>
                <w:sz w:val="20"/>
                <w:szCs w:val="20"/>
              </w:rPr>
              <w:t>爆</w:t>
            </w:r>
            <w:proofErr w:type="gramEnd"/>
            <w:r w:rsidRPr="00EF4836">
              <w:rPr>
                <w:rFonts w:ascii="仿宋_GB2312" w:eastAsia="仿宋_GB2312" w:hAnsi="仿宋_GB2312" w:cs="仿宋_GB2312" w:hint="eastAsia"/>
                <w:color w:val="000000"/>
                <w:sz w:val="20"/>
                <w:szCs w:val="20"/>
              </w:rPr>
              <w:t>化学品，</w:t>
            </w:r>
            <w:proofErr w:type="gramStart"/>
            <w:r w:rsidRPr="00EF4836">
              <w:rPr>
                <w:rFonts w:ascii="仿宋_GB2312" w:eastAsia="仿宋_GB2312" w:hAnsi="仿宋_GB2312" w:cs="仿宋_GB2312" w:hint="eastAsia"/>
                <w:color w:val="000000"/>
                <w:sz w:val="20"/>
                <w:szCs w:val="20"/>
              </w:rPr>
              <w:t>危废贮存</w:t>
            </w:r>
            <w:proofErr w:type="gramEnd"/>
            <w:r w:rsidRPr="00EF4836">
              <w:rPr>
                <w:rFonts w:ascii="仿宋_GB2312" w:eastAsia="仿宋_GB2312" w:hAnsi="仿宋_GB2312" w:cs="仿宋_GB2312" w:hint="eastAsia"/>
                <w:color w:val="000000"/>
                <w:sz w:val="20"/>
                <w:szCs w:val="20"/>
              </w:rPr>
              <w:t>站，备案生物实验室，</w:t>
            </w:r>
            <w:proofErr w:type="gramStart"/>
            <w:r w:rsidRPr="00EF4836">
              <w:rPr>
                <w:rFonts w:ascii="仿宋_GB2312" w:eastAsia="仿宋_GB2312" w:hAnsi="仿宋_GB2312" w:cs="仿宋_GB2312" w:hint="eastAsia"/>
                <w:color w:val="000000"/>
                <w:sz w:val="20"/>
                <w:szCs w:val="20"/>
              </w:rPr>
              <w:t>涉源场所</w:t>
            </w:r>
            <w:proofErr w:type="gramEnd"/>
            <w:r w:rsidRPr="00EF4836">
              <w:rPr>
                <w:rFonts w:ascii="仿宋_GB2312" w:eastAsia="仿宋_GB2312" w:hAnsi="仿宋_GB2312" w:cs="仿宋_GB2312" w:hint="eastAsia"/>
                <w:color w:val="000000"/>
                <w:sz w:val="20"/>
                <w:szCs w:val="20"/>
              </w:rPr>
              <w:t>，特种设备等设施设备）定期环评、检测、监测、</w:t>
            </w:r>
            <w:proofErr w:type="gramStart"/>
            <w:r w:rsidRPr="00EF4836">
              <w:rPr>
                <w:rFonts w:ascii="仿宋_GB2312" w:eastAsia="仿宋_GB2312" w:hAnsi="仿宋_GB2312" w:cs="仿宋_GB2312" w:hint="eastAsia"/>
                <w:color w:val="000000"/>
                <w:sz w:val="20"/>
                <w:szCs w:val="20"/>
              </w:rPr>
              <w:t>维保的</w:t>
            </w:r>
            <w:proofErr w:type="gramEnd"/>
            <w:r w:rsidRPr="00EF4836">
              <w:rPr>
                <w:rFonts w:ascii="仿宋_GB2312" w:eastAsia="仿宋_GB2312" w:hAnsi="仿宋_GB2312" w:cs="仿宋_GB2312" w:hint="eastAsia"/>
                <w:color w:val="000000"/>
                <w:sz w:val="20"/>
                <w:szCs w:val="20"/>
              </w:rPr>
              <w:t>。</w:t>
            </w:r>
          </w:p>
        </w:tc>
        <w:tc>
          <w:tcPr>
            <w:tcW w:w="3868" w:type="dxa"/>
            <w:tcBorders>
              <w:tl2br w:val="nil"/>
              <w:tr2bl w:val="nil"/>
            </w:tcBorders>
            <w:vAlign w:val="center"/>
          </w:tcPr>
          <w:p w14:paraId="58BEB56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《教育系统重大事故隐患判定指南》第六条（八）；</w:t>
            </w:r>
          </w:p>
          <w:p w14:paraId="2742FE4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《可燃气体检测报警器》（JJG 693-2011）第5.5条；</w:t>
            </w:r>
          </w:p>
          <w:p w14:paraId="5022926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 xml:space="preserve">《实验室危险化学品安全管理要求 第2部分：普通高等学校》（DB11/T 1191.2-2025）第5.1.7条e）; </w:t>
            </w:r>
          </w:p>
          <w:p w14:paraId="59588A9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1191.3-2024）第6.1.4条</w:t>
            </w:r>
          </w:p>
        </w:tc>
        <w:tc>
          <w:tcPr>
            <w:tcW w:w="376" w:type="dxa"/>
            <w:tcBorders>
              <w:tl2br w:val="nil"/>
              <w:tr2bl w:val="nil"/>
            </w:tcBorders>
            <w:vAlign w:val="center"/>
          </w:tcPr>
          <w:p w14:paraId="34C9634D" w14:textId="77777777" w:rsidR="00EF4836" w:rsidRPr="00EF4836" w:rsidRDefault="00EF4836" w:rsidP="008351BE">
            <w:pPr>
              <w:widowControl/>
              <w:adjustRightInd w:val="0"/>
              <w:snapToGrid w:val="0"/>
              <w:jc w:val="center"/>
              <w:rPr>
                <w:rFonts w:ascii="仿宋_GB2312" w:eastAsia="仿宋_GB2312" w:hAnsi="黑体" w:cs="宋体" w:hint="eastAsia"/>
                <w:b/>
                <w:kern w:val="0"/>
                <w:sz w:val="20"/>
                <w:szCs w:val="20"/>
              </w:rPr>
            </w:pPr>
            <w:r w:rsidRPr="00EF4836">
              <w:rPr>
                <w:rFonts w:ascii="仿宋_GB2312" w:eastAsia="仿宋_GB2312" w:hAnsi="仿宋_GB2312" w:cs="仿宋_GB2312" w:hint="eastAsia"/>
                <w:b/>
                <w:color w:val="000000"/>
                <w:kern w:val="0"/>
                <w:sz w:val="20"/>
                <w:szCs w:val="20"/>
              </w:rPr>
              <w:t>★2</w:t>
            </w:r>
          </w:p>
        </w:tc>
      </w:tr>
      <w:tr w:rsidR="00EF4836" w:rsidRPr="00EF4836" w14:paraId="00E65FC3" w14:textId="77777777" w:rsidTr="008351BE">
        <w:trPr>
          <w:trHeight w:val="455"/>
          <w:jc w:val="center"/>
        </w:trPr>
        <w:tc>
          <w:tcPr>
            <w:tcW w:w="14118" w:type="dxa"/>
            <w:gridSpan w:val="7"/>
            <w:tcBorders>
              <w:tl2br w:val="nil"/>
              <w:tr2bl w:val="nil"/>
            </w:tcBorders>
            <w:shd w:val="clear" w:color="auto" w:fill="95B3D7"/>
            <w:vAlign w:val="center"/>
          </w:tcPr>
          <w:p w14:paraId="0CED2663"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rPr>
            </w:pPr>
            <w:r w:rsidRPr="00EF4836">
              <w:rPr>
                <w:rFonts w:ascii="仿宋_GB2312" w:eastAsia="仿宋_GB2312" w:hAnsi="仿宋_GB2312" w:cs="仿宋_GB2312" w:hint="eastAsia"/>
                <w:b/>
                <w:color w:val="000000"/>
                <w:kern w:val="0"/>
                <w:sz w:val="20"/>
                <w:szCs w:val="20"/>
                <w:lang w:bidi="ar"/>
              </w:rPr>
              <w:t>专用仓库、气瓶库</w:t>
            </w:r>
          </w:p>
        </w:tc>
      </w:tr>
      <w:tr w:rsidR="00EF4836" w:rsidRPr="00EF4836" w14:paraId="2330913E" w14:textId="77777777" w:rsidTr="008351BE">
        <w:trPr>
          <w:trHeight w:val="347"/>
          <w:jc w:val="center"/>
        </w:trPr>
        <w:tc>
          <w:tcPr>
            <w:tcW w:w="971" w:type="dxa"/>
            <w:tcBorders>
              <w:tl2br w:val="nil"/>
              <w:tr2bl w:val="nil"/>
            </w:tcBorders>
            <w:vAlign w:val="center"/>
          </w:tcPr>
          <w:p w14:paraId="20F46D5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15.2.12.140</w:t>
            </w:r>
          </w:p>
        </w:tc>
        <w:tc>
          <w:tcPr>
            <w:tcW w:w="1064" w:type="dxa"/>
            <w:tcBorders>
              <w:tl2br w:val="nil"/>
              <w:tr2bl w:val="nil"/>
            </w:tcBorders>
            <w:vAlign w:val="center"/>
          </w:tcPr>
          <w:p w14:paraId="5C148B7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1B370AD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危险化学品类</w:t>
            </w:r>
          </w:p>
        </w:tc>
        <w:tc>
          <w:tcPr>
            <w:tcW w:w="2861" w:type="dxa"/>
            <w:tcBorders>
              <w:tl2br w:val="nil"/>
              <w:tr2bl w:val="nil"/>
            </w:tcBorders>
            <w:vAlign w:val="center"/>
          </w:tcPr>
          <w:p w14:paraId="29A6C71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易燃液体类、氧化性物质和有机过氧化物类、腐蚀类存放总量 超过规定量应设置未设置危险化学品专用仓库或气瓶库。</w:t>
            </w:r>
          </w:p>
        </w:tc>
        <w:tc>
          <w:tcPr>
            <w:tcW w:w="3889" w:type="dxa"/>
            <w:tcBorders>
              <w:tl2br w:val="nil"/>
              <w:tr2bl w:val="nil"/>
            </w:tcBorders>
            <w:vAlign w:val="center"/>
          </w:tcPr>
          <w:p w14:paraId="7E30D56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下列情况应设置危险化学品专用仓库：</w:t>
            </w:r>
          </w:p>
          <w:p w14:paraId="3276FF7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a） 易燃液体类危险化学品存放总量 0.5 t以上或超过一昼夜使用量；</w:t>
            </w:r>
          </w:p>
          <w:p w14:paraId="1A347E6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b） 氧化性物质和有机过氧化物类危险化学品存放总量 0.5 t以上或超过一昼夜使用量；</w:t>
            </w:r>
          </w:p>
          <w:p w14:paraId="6AE147D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c） 腐蚀类危险化学品存放总量 1 t 以上或超过一昼夜使用量。</w:t>
            </w:r>
          </w:p>
          <w:p w14:paraId="5F8F20C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d）在不违反危险化学品储存禁忌规定的情况下，单一储存室内存储的危险化学品为多品种时，按照式（1）计算，a 的值不小于 1。</w:t>
            </w:r>
          </w:p>
          <w:p w14:paraId="10E992B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 xml:space="preserve">a = q1/Q1 + q2/Q2 + ...+ </w:t>
            </w:r>
            <w:proofErr w:type="spellStart"/>
            <w:r w:rsidRPr="00EF4836">
              <w:rPr>
                <w:rFonts w:ascii="仿宋_GB2312" w:eastAsia="仿宋_GB2312" w:hAnsi="仿宋_GB2312" w:cs="仿宋_GB2312" w:hint="eastAsia"/>
                <w:color w:val="000000"/>
                <w:sz w:val="20"/>
                <w:szCs w:val="20"/>
              </w:rPr>
              <w:t>qn</w:t>
            </w:r>
            <w:proofErr w:type="spellEnd"/>
            <w:r w:rsidRPr="00EF4836">
              <w:rPr>
                <w:rFonts w:ascii="仿宋_GB2312" w:eastAsia="仿宋_GB2312" w:hAnsi="仿宋_GB2312" w:cs="仿宋_GB2312" w:hint="eastAsia"/>
                <w:color w:val="000000"/>
                <w:sz w:val="20"/>
                <w:szCs w:val="20"/>
              </w:rPr>
              <w:t>/</w:t>
            </w:r>
            <w:proofErr w:type="spellStart"/>
            <w:r w:rsidRPr="00EF4836">
              <w:rPr>
                <w:rFonts w:ascii="仿宋_GB2312" w:eastAsia="仿宋_GB2312" w:hAnsi="仿宋_GB2312" w:cs="仿宋_GB2312" w:hint="eastAsia"/>
                <w:color w:val="000000"/>
                <w:sz w:val="20"/>
                <w:szCs w:val="20"/>
              </w:rPr>
              <w:t>Qn</w:t>
            </w:r>
            <w:proofErr w:type="spellEnd"/>
            <w:r w:rsidRPr="00EF4836">
              <w:rPr>
                <w:rFonts w:ascii="仿宋_GB2312" w:eastAsia="仿宋_GB2312" w:hAnsi="仿宋_GB2312" w:cs="仿宋_GB2312" w:hint="eastAsia"/>
                <w:color w:val="000000"/>
                <w:sz w:val="20"/>
                <w:szCs w:val="20"/>
              </w:rPr>
              <w:t xml:space="preserve"> ......</w:t>
            </w:r>
          </w:p>
          <w:p w14:paraId="6BAE4C3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式中：q1,q2,…,</w:t>
            </w:r>
            <w:proofErr w:type="spellStart"/>
            <w:r w:rsidRPr="00EF4836">
              <w:rPr>
                <w:rFonts w:ascii="仿宋_GB2312" w:eastAsia="仿宋_GB2312" w:hAnsi="仿宋_GB2312" w:cs="仿宋_GB2312" w:hint="eastAsia"/>
                <w:color w:val="000000"/>
                <w:sz w:val="20"/>
                <w:szCs w:val="20"/>
              </w:rPr>
              <w:t>qn</w:t>
            </w:r>
            <w:proofErr w:type="spellEnd"/>
            <w:r w:rsidRPr="00EF4836">
              <w:rPr>
                <w:rFonts w:ascii="仿宋_GB2312" w:eastAsia="仿宋_GB2312" w:hAnsi="仿宋_GB2312" w:cs="仿宋_GB2312" w:hint="eastAsia"/>
                <w:color w:val="000000"/>
                <w:sz w:val="20"/>
                <w:szCs w:val="20"/>
              </w:rPr>
              <w:t xml:space="preserve"> ——每类危险化学品的实际存放量；</w:t>
            </w:r>
          </w:p>
          <w:p w14:paraId="18AE129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Q1,Q2,…,</w:t>
            </w:r>
            <w:proofErr w:type="spellStart"/>
            <w:r w:rsidRPr="00EF4836">
              <w:rPr>
                <w:rFonts w:ascii="仿宋_GB2312" w:eastAsia="仿宋_GB2312" w:hAnsi="仿宋_GB2312" w:cs="仿宋_GB2312" w:hint="eastAsia"/>
                <w:color w:val="000000"/>
                <w:sz w:val="20"/>
                <w:szCs w:val="20"/>
              </w:rPr>
              <w:t>Qn</w:t>
            </w:r>
            <w:proofErr w:type="spellEnd"/>
            <w:r w:rsidRPr="00EF4836">
              <w:rPr>
                <w:rFonts w:ascii="仿宋_GB2312" w:eastAsia="仿宋_GB2312" w:hAnsi="仿宋_GB2312" w:cs="仿宋_GB2312" w:hint="eastAsia"/>
                <w:color w:val="000000"/>
                <w:sz w:val="20"/>
                <w:szCs w:val="20"/>
              </w:rPr>
              <w:t xml:space="preserve"> ——每类危险化学品相对应的最大存放量。</w:t>
            </w:r>
          </w:p>
          <w:p w14:paraId="690B675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下列情况应设置气瓶库:</w:t>
            </w:r>
          </w:p>
          <w:p w14:paraId="758881E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a） 易燃气体存放总量 36 Nm3（如工作压力 15 MPa 时相当于 40 L 的 6 瓶）以上或超过一昼夜使用量；</w:t>
            </w:r>
          </w:p>
          <w:p w14:paraId="10ED043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b） 非易燃无毒气体存放总量 60 Nm3（如工作压力 15 MPa 时相当于 40 L 的 10 瓶）以上或超过一昼夜使用量；</w:t>
            </w:r>
          </w:p>
          <w:p w14:paraId="6FC87957"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c）在不违反危险化学品储存禁忌规定的情况下，单一气瓶室内存储的气瓶为多品种时，按照式（1）计算，a的值不小于 1。</w:t>
            </w:r>
          </w:p>
          <w:p w14:paraId="78E3EEF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 xml:space="preserve">a = q1/Q1 + q2/Q2 + ...+ </w:t>
            </w:r>
            <w:proofErr w:type="spellStart"/>
            <w:r w:rsidRPr="00EF4836">
              <w:rPr>
                <w:rFonts w:ascii="仿宋_GB2312" w:eastAsia="仿宋_GB2312" w:hAnsi="仿宋_GB2312" w:cs="仿宋_GB2312" w:hint="eastAsia"/>
                <w:color w:val="000000"/>
                <w:sz w:val="20"/>
                <w:szCs w:val="20"/>
              </w:rPr>
              <w:t>qn</w:t>
            </w:r>
            <w:proofErr w:type="spellEnd"/>
            <w:r w:rsidRPr="00EF4836">
              <w:rPr>
                <w:rFonts w:ascii="仿宋_GB2312" w:eastAsia="仿宋_GB2312" w:hAnsi="仿宋_GB2312" w:cs="仿宋_GB2312" w:hint="eastAsia"/>
                <w:color w:val="000000"/>
                <w:sz w:val="20"/>
                <w:szCs w:val="20"/>
              </w:rPr>
              <w:t>/</w:t>
            </w:r>
            <w:proofErr w:type="spellStart"/>
            <w:r w:rsidRPr="00EF4836">
              <w:rPr>
                <w:rFonts w:ascii="仿宋_GB2312" w:eastAsia="仿宋_GB2312" w:hAnsi="仿宋_GB2312" w:cs="仿宋_GB2312" w:hint="eastAsia"/>
                <w:color w:val="000000"/>
                <w:sz w:val="20"/>
                <w:szCs w:val="20"/>
              </w:rPr>
              <w:t>Qn</w:t>
            </w:r>
            <w:proofErr w:type="spellEnd"/>
            <w:r w:rsidRPr="00EF4836">
              <w:rPr>
                <w:rFonts w:ascii="仿宋_GB2312" w:eastAsia="仿宋_GB2312" w:hAnsi="仿宋_GB2312" w:cs="仿宋_GB2312" w:hint="eastAsia"/>
                <w:color w:val="000000"/>
                <w:sz w:val="20"/>
                <w:szCs w:val="20"/>
              </w:rPr>
              <w:t xml:space="preserve"> ...... （1）</w:t>
            </w:r>
          </w:p>
          <w:p w14:paraId="5B54982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式中：q1,q2,…,</w:t>
            </w:r>
            <w:proofErr w:type="spellStart"/>
            <w:r w:rsidRPr="00EF4836">
              <w:rPr>
                <w:rFonts w:ascii="仿宋_GB2312" w:eastAsia="仿宋_GB2312" w:hAnsi="仿宋_GB2312" w:cs="仿宋_GB2312" w:hint="eastAsia"/>
                <w:color w:val="000000"/>
                <w:sz w:val="20"/>
                <w:szCs w:val="20"/>
              </w:rPr>
              <w:t>qn</w:t>
            </w:r>
            <w:proofErr w:type="spellEnd"/>
            <w:r w:rsidRPr="00EF4836">
              <w:rPr>
                <w:rFonts w:ascii="仿宋_GB2312" w:eastAsia="仿宋_GB2312" w:hAnsi="仿宋_GB2312" w:cs="仿宋_GB2312" w:hint="eastAsia"/>
                <w:color w:val="000000"/>
                <w:sz w:val="20"/>
                <w:szCs w:val="20"/>
              </w:rPr>
              <w:t xml:space="preserve"> ——每类危险化学品的实际存放量；</w:t>
            </w:r>
          </w:p>
          <w:p w14:paraId="575E298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Q1,Q2,…,</w:t>
            </w:r>
            <w:proofErr w:type="spellStart"/>
            <w:r w:rsidRPr="00EF4836">
              <w:rPr>
                <w:rFonts w:ascii="仿宋_GB2312" w:eastAsia="仿宋_GB2312" w:hAnsi="仿宋_GB2312" w:cs="仿宋_GB2312" w:hint="eastAsia"/>
                <w:color w:val="000000"/>
                <w:sz w:val="20"/>
                <w:szCs w:val="20"/>
              </w:rPr>
              <w:t>Qn</w:t>
            </w:r>
            <w:proofErr w:type="spellEnd"/>
            <w:r w:rsidRPr="00EF4836">
              <w:rPr>
                <w:rFonts w:ascii="仿宋_GB2312" w:eastAsia="仿宋_GB2312" w:hAnsi="仿宋_GB2312" w:cs="仿宋_GB2312" w:hint="eastAsia"/>
                <w:color w:val="000000"/>
                <w:sz w:val="20"/>
                <w:szCs w:val="20"/>
              </w:rPr>
              <w:t xml:space="preserve"> ——每类危险化学品相对应的最大存放量。</w:t>
            </w:r>
          </w:p>
          <w:p w14:paraId="526CB2B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d） 一个防火分区内布置2间及以上危险化</w:t>
            </w:r>
            <w:r w:rsidRPr="00EF4836">
              <w:rPr>
                <w:rFonts w:ascii="仿宋_GB2312" w:eastAsia="仿宋_GB2312" w:hAnsi="仿宋_GB2312" w:cs="仿宋_GB2312" w:hint="eastAsia"/>
                <w:color w:val="000000"/>
                <w:sz w:val="20"/>
                <w:szCs w:val="20"/>
              </w:rPr>
              <w:lastRenderedPageBreak/>
              <w:t>学品气瓶库时，危险化学品储存总量应合并计算，并超过1间危险化学品气瓶库的存放总量要求。</w:t>
            </w:r>
          </w:p>
        </w:tc>
        <w:tc>
          <w:tcPr>
            <w:tcW w:w="3868" w:type="dxa"/>
            <w:tcBorders>
              <w:tl2br w:val="nil"/>
              <w:tr2bl w:val="nil"/>
            </w:tcBorders>
            <w:vAlign w:val="center"/>
          </w:tcPr>
          <w:p w14:paraId="2F1185B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《安全生产等级评定技术规范 第2部分：安全生产通用要求》（DB11/T 1322.2-2017）</w:t>
            </w:r>
          </w:p>
        </w:tc>
        <w:tc>
          <w:tcPr>
            <w:tcW w:w="376" w:type="dxa"/>
            <w:tcBorders>
              <w:tl2br w:val="nil"/>
              <w:tr2bl w:val="nil"/>
            </w:tcBorders>
          </w:tcPr>
          <w:p w14:paraId="4E440996"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rPr>
            </w:pPr>
          </w:p>
        </w:tc>
      </w:tr>
      <w:tr w:rsidR="00EF4836" w:rsidRPr="00EF4836" w14:paraId="66A348EB" w14:textId="77777777" w:rsidTr="008351BE">
        <w:trPr>
          <w:trHeight w:val="347"/>
          <w:jc w:val="center"/>
        </w:trPr>
        <w:tc>
          <w:tcPr>
            <w:tcW w:w="971" w:type="dxa"/>
            <w:tcBorders>
              <w:tl2br w:val="nil"/>
              <w:tr2bl w:val="nil"/>
            </w:tcBorders>
            <w:vAlign w:val="center"/>
          </w:tcPr>
          <w:p w14:paraId="1940B185"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15.4.01.141</w:t>
            </w:r>
          </w:p>
        </w:tc>
        <w:tc>
          <w:tcPr>
            <w:tcW w:w="1064" w:type="dxa"/>
            <w:tcBorders>
              <w:tl2br w:val="nil"/>
              <w:tr2bl w:val="nil"/>
            </w:tcBorders>
            <w:vAlign w:val="center"/>
          </w:tcPr>
          <w:p w14:paraId="61E7056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76C7CC5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平面布置类</w:t>
            </w:r>
          </w:p>
        </w:tc>
        <w:tc>
          <w:tcPr>
            <w:tcW w:w="2861" w:type="dxa"/>
            <w:tcBorders>
              <w:tl2br w:val="nil"/>
              <w:tr2bl w:val="nil"/>
            </w:tcBorders>
            <w:vAlign w:val="center"/>
          </w:tcPr>
          <w:p w14:paraId="69F7D43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危险化学品仓库未独立设置。</w:t>
            </w:r>
          </w:p>
        </w:tc>
        <w:tc>
          <w:tcPr>
            <w:tcW w:w="3889" w:type="dxa"/>
            <w:tcBorders>
              <w:tl2br w:val="nil"/>
              <w:tr2bl w:val="nil"/>
            </w:tcBorders>
            <w:vAlign w:val="center"/>
          </w:tcPr>
          <w:p w14:paraId="63961AE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 xml:space="preserve">危险化学品仓库应独立设置 </w:t>
            </w:r>
          </w:p>
        </w:tc>
        <w:tc>
          <w:tcPr>
            <w:tcW w:w="3868" w:type="dxa"/>
            <w:tcBorders>
              <w:tl2br w:val="nil"/>
              <w:tr2bl w:val="nil"/>
            </w:tcBorders>
            <w:vAlign w:val="center"/>
          </w:tcPr>
          <w:p w14:paraId="1091E0B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《危险化学品储存场所建设及储存安全要求》（DB11/T 755）第4.2.3条</w:t>
            </w:r>
          </w:p>
        </w:tc>
        <w:tc>
          <w:tcPr>
            <w:tcW w:w="376" w:type="dxa"/>
            <w:tcBorders>
              <w:tl2br w:val="nil"/>
              <w:tr2bl w:val="nil"/>
            </w:tcBorders>
          </w:tcPr>
          <w:p w14:paraId="47677293"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rPr>
            </w:pPr>
          </w:p>
        </w:tc>
      </w:tr>
      <w:tr w:rsidR="00EF4836" w:rsidRPr="00EF4836" w14:paraId="0374BA42" w14:textId="77777777" w:rsidTr="008351BE">
        <w:trPr>
          <w:trHeight w:val="347"/>
          <w:jc w:val="center"/>
        </w:trPr>
        <w:tc>
          <w:tcPr>
            <w:tcW w:w="971" w:type="dxa"/>
            <w:tcBorders>
              <w:tl2br w:val="nil"/>
              <w:tr2bl w:val="nil"/>
            </w:tcBorders>
            <w:vAlign w:val="center"/>
          </w:tcPr>
          <w:p w14:paraId="21313F35"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15.4.04.142</w:t>
            </w:r>
          </w:p>
        </w:tc>
        <w:tc>
          <w:tcPr>
            <w:tcW w:w="1064" w:type="dxa"/>
            <w:tcBorders>
              <w:tl2br w:val="nil"/>
              <w:tr2bl w:val="nil"/>
            </w:tcBorders>
            <w:vAlign w:val="center"/>
          </w:tcPr>
          <w:p w14:paraId="795293F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70026D8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作业环境类</w:t>
            </w:r>
          </w:p>
        </w:tc>
        <w:tc>
          <w:tcPr>
            <w:tcW w:w="2861" w:type="dxa"/>
            <w:tcBorders>
              <w:tl2br w:val="nil"/>
              <w:tr2bl w:val="nil"/>
            </w:tcBorders>
            <w:vAlign w:val="center"/>
          </w:tcPr>
          <w:p w14:paraId="283099F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甲类、乙类仓库内设置办公室、休息室等辅助用房；与办公室、休息室等辅助用房及其他场所贴邻；丙类、</w:t>
            </w:r>
            <w:proofErr w:type="gramStart"/>
            <w:r w:rsidRPr="00EF4836">
              <w:rPr>
                <w:rFonts w:ascii="仿宋_GB2312" w:eastAsia="仿宋_GB2312" w:hAnsi="仿宋_GB2312" w:cs="仿宋_GB2312" w:hint="eastAsia"/>
                <w:color w:val="000000"/>
                <w:sz w:val="20"/>
                <w:szCs w:val="20"/>
              </w:rPr>
              <w:t>丁类仓库</w:t>
            </w:r>
            <w:proofErr w:type="gramEnd"/>
            <w:r w:rsidRPr="00EF4836">
              <w:rPr>
                <w:rFonts w:ascii="仿宋_GB2312" w:eastAsia="仿宋_GB2312" w:hAnsi="仿宋_GB2312" w:cs="仿宋_GB2312" w:hint="eastAsia"/>
                <w:color w:val="000000"/>
                <w:sz w:val="20"/>
                <w:szCs w:val="20"/>
              </w:rPr>
              <w:t>内的办公室、休息室等辅助用房，未采用防火门、防火窗、耐火极限低于2.00h的防火隔墙和耐火极限低于1.00h的楼板，未与其他部位分隔，未设置独立的安全出口。</w:t>
            </w:r>
          </w:p>
        </w:tc>
        <w:tc>
          <w:tcPr>
            <w:tcW w:w="3889" w:type="dxa"/>
            <w:tcBorders>
              <w:tl2br w:val="nil"/>
              <w:tr2bl w:val="nil"/>
            </w:tcBorders>
            <w:vAlign w:val="center"/>
          </w:tcPr>
          <w:p w14:paraId="6B8EEB3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甲类、乙类仓库内不应设置办公室、休息室等辅助用房，不应与办公室、休息室等辅助用房及其他场所贴邻。丙类、</w:t>
            </w:r>
            <w:proofErr w:type="gramStart"/>
            <w:r w:rsidRPr="00EF4836">
              <w:rPr>
                <w:rFonts w:ascii="仿宋_GB2312" w:eastAsia="仿宋_GB2312" w:hAnsi="仿宋_GB2312" w:cs="仿宋_GB2312" w:hint="eastAsia"/>
                <w:color w:val="000000"/>
                <w:sz w:val="20"/>
                <w:szCs w:val="20"/>
              </w:rPr>
              <w:t>丁类仓库</w:t>
            </w:r>
            <w:proofErr w:type="gramEnd"/>
            <w:r w:rsidRPr="00EF4836">
              <w:rPr>
                <w:rFonts w:ascii="仿宋_GB2312" w:eastAsia="仿宋_GB2312" w:hAnsi="仿宋_GB2312" w:cs="仿宋_GB2312" w:hint="eastAsia"/>
                <w:color w:val="000000"/>
                <w:sz w:val="20"/>
                <w:szCs w:val="20"/>
              </w:rPr>
              <w:t>内的办公室、休息室等辅助用房，应采用防火门、防火窗、耐火极限不低于2.00h的防火隔墙和耐火极限不低于1.00h的楼板，并与其他部位分隔，并应设置独立的安全出口。</w:t>
            </w:r>
          </w:p>
        </w:tc>
        <w:tc>
          <w:tcPr>
            <w:tcW w:w="3868" w:type="dxa"/>
            <w:tcBorders>
              <w:tl2br w:val="nil"/>
              <w:tr2bl w:val="nil"/>
            </w:tcBorders>
            <w:vAlign w:val="center"/>
          </w:tcPr>
          <w:p w14:paraId="64E3C64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《危险化学品储存场所建设及储存安全要求》（DB11/T 755）第4.2.4条</w:t>
            </w:r>
          </w:p>
        </w:tc>
        <w:tc>
          <w:tcPr>
            <w:tcW w:w="376" w:type="dxa"/>
            <w:tcBorders>
              <w:tl2br w:val="nil"/>
              <w:tr2bl w:val="nil"/>
            </w:tcBorders>
          </w:tcPr>
          <w:p w14:paraId="113A44F9"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rPr>
            </w:pPr>
          </w:p>
        </w:tc>
      </w:tr>
      <w:tr w:rsidR="00EF4836" w:rsidRPr="00EF4836" w14:paraId="729BC4D5" w14:textId="77777777" w:rsidTr="008351BE">
        <w:trPr>
          <w:trHeight w:val="347"/>
          <w:jc w:val="center"/>
        </w:trPr>
        <w:tc>
          <w:tcPr>
            <w:tcW w:w="971" w:type="dxa"/>
            <w:tcBorders>
              <w:tl2br w:val="nil"/>
              <w:tr2bl w:val="nil"/>
            </w:tcBorders>
            <w:vAlign w:val="center"/>
          </w:tcPr>
          <w:p w14:paraId="301A397D"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15.4.04.143</w:t>
            </w:r>
          </w:p>
        </w:tc>
        <w:tc>
          <w:tcPr>
            <w:tcW w:w="1064" w:type="dxa"/>
            <w:tcBorders>
              <w:tl2br w:val="nil"/>
              <w:tr2bl w:val="nil"/>
            </w:tcBorders>
            <w:vAlign w:val="center"/>
          </w:tcPr>
          <w:p w14:paraId="791C3D22"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4B62418E"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作业环境类</w:t>
            </w:r>
          </w:p>
        </w:tc>
        <w:tc>
          <w:tcPr>
            <w:tcW w:w="2861" w:type="dxa"/>
            <w:tcBorders>
              <w:tl2br w:val="nil"/>
              <w:tr2bl w:val="nil"/>
            </w:tcBorders>
            <w:vAlign w:val="center"/>
          </w:tcPr>
          <w:p w14:paraId="1379B65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仓库内的防火分区或库房之间未采用防火墙分隔，甲类、乙类库房内的防火分区或库房之间未采用无任何开口的防火墙分隔。</w:t>
            </w:r>
          </w:p>
        </w:tc>
        <w:tc>
          <w:tcPr>
            <w:tcW w:w="3889" w:type="dxa"/>
            <w:tcBorders>
              <w:tl2br w:val="nil"/>
              <w:tr2bl w:val="nil"/>
            </w:tcBorders>
            <w:vAlign w:val="center"/>
          </w:tcPr>
          <w:p w14:paraId="3F54BB3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仓库内的防火分区或库房之间应采用防火墙分隔，甲类、乙类库房内的防火分区或库房之间应采用无任何开口的防火墙分隔。</w:t>
            </w:r>
          </w:p>
        </w:tc>
        <w:tc>
          <w:tcPr>
            <w:tcW w:w="3868" w:type="dxa"/>
            <w:tcBorders>
              <w:tl2br w:val="nil"/>
              <w:tr2bl w:val="nil"/>
            </w:tcBorders>
            <w:vAlign w:val="center"/>
          </w:tcPr>
          <w:p w14:paraId="309FDD4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《危险化学品储存场所建设及储存安全要求》（DB11/T 755）第4.2.5条</w:t>
            </w:r>
          </w:p>
        </w:tc>
        <w:tc>
          <w:tcPr>
            <w:tcW w:w="376" w:type="dxa"/>
            <w:tcBorders>
              <w:tl2br w:val="nil"/>
              <w:tr2bl w:val="nil"/>
            </w:tcBorders>
          </w:tcPr>
          <w:p w14:paraId="7FF845D4"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rPr>
            </w:pPr>
          </w:p>
        </w:tc>
      </w:tr>
      <w:tr w:rsidR="00EF4836" w:rsidRPr="00EF4836" w14:paraId="63CAA3B7" w14:textId="77777777" w:rsidTr="008351BE">
        <w:trPr>
          <w:trHeight w:val="347"/>
          <w:jc w:val="center"/>
        </w:trPr>
        <w:tc>
          <w:tcPr>
            <w:tcW w:w="971" w:type="dxa"/>
            <w:tcBorders>
              <w:tl2br w:val="nil"/>
              <w:tr2bl w:val="nil"/>
            </w:tcBorders>
            <w:vAlign w:val="center"/>
          </w:tcPr>
          <w:p w14:paraId="5CDB1218"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15.4.04.144</w:t>
            </w:r>
          </w:p>
        </w:tc>
        <w:tc>
          <w:tcPr>
            <w:tcW w:w="1064" w:type="dxa"/>
            <w:tcBorders>
              <w:tl2br w:val="nil"/>
              <w:tr2bl w:val="nil"/>
            </w:tcBorders>
            <w:vAlign w:val="center"/>
          </w:tcPr>
          <w:p w14:paraId="5B520027"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73DCC56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作业环境类</w:t>
            </w:r>
          </w:p>
        </w:tc>
        <w:tc>
          <w:tcPr>
            <w:tcW w:w="2861" w:type="dxa"/>
            <w:tcBorders>
              <w:tl2br w:val="nil"/>
              <w:tr2bl w:val="nil"/>
            </w:tcBorders>
            <w:vAlign w:val="center"/>
          </w:tcPr>
          <w:p w14:paraId="778E46E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占地面积大于300m</w:t>
            </w:r>
            <w:r w:rsidRPr="00EF4836">
              <w:rPr>
                <w:rFonts w:eastAsia="仿宋_GB2312" w:cs="Calibri"/>
                <w:color w:val="000000"/>
                <w:sz w:val="20"/>
                <w:szCs w:val="20"/>
              </w:rPr>
              <w:t>²</w:t>
            </w:r>
            <w:r w:rsidRPr="00EF4836">
              <w:rPr>
                <w:rFonts w:ascii="仿宋_GB2312" w:eastAsia="仿宋_GB2312" w:hAnsi="仿宋_GB2312" w:cs="仿宋_GB2312" w:hint="eastAsia"/>
                <w:color w:val="000000"/>
                <w:sz w:val="20"/>
                <w:szCs w:val="20"/>
              </w:rPr>
              <w:t>的仓库，安全出口少于2个；仓库内每个建筑面积大于100m</w:t>
            </w:r>
            <w:r w:rsidRPr="00EF4836">
              <w:rPr>
                <w:rFonts w:eastAsia="仿宋_GB2312" w:cs="Calibri"/>
                <w:color w:val="000000"/>
                <w:sz w:val="20"/>
                <w:szCs w:val="20"/>
              </w:rPr>
              <w:t>²</w:t>
            </w:r>
            <w:r w:rsidRPr="00EF4836">
              <w:rPr>
                <w:rFonts w:ascii="仿宋_GB2312" w:eastAsia="仿宋_GB2312" w:hAnsi="仿宋_GB2312" w:cs="仿宋_GB2312" w:hint="eastAsia"/>
                <w:color w:val="000000"/>
                <w:sz w:val="20"/>
                <w:szCs w:val="20"/>
              </w:rPr>
              <w:t>的房间的疏散出口少于2个。</w:t>
            </w:r>
          </w:p>
        </w:tc>
        <w:tc>
          <w:tcPr>
            <w:tcW w:w="3889" w:type="dxa"/>
            <w:tcBorders>
              <w:tl2br w:val="nil"/>
              <w:tr2bl w:val="nil"/>
            </w:tcBorders>
            <w:vAlign w:val="center"/>
          </w:tcPr>
          <w:p w14:paraId="2842EC3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占地面积大于300m</w:t>
            </w:r>
            <w:r w:rsidRPr="00EF4836">
              <w:rPr>
                <w:rFonts w:eastAsia="仿宋_GB2312" w:cs="Calibri"/>
                <w:color w:val="000000"/>
                <w:sz w:val="20"/>
                <w:szCs w:val="20"/>
              </w:rPr>
              <w:t>²</w:t>
            </w:r>
            <w:r w:rsidRPr="00EF4836">
              <w:rPr>
                <w:rFonts w:ascii="仿宋_GB2312" w:eastAsia="仿宋_GB2312" w:hAnsi="仿宋_GB2312" w:cs="仿宋_GB2312" w:hint="eastAsia"/>
                <w:color w:val="000000"/>
                <w:sz w:val="20"/>
                <w:szCs w:val="20"/>
              </w:rPr>
              <w:t>的仓库，安全出口不应少于2个；仓库内每个建筑面积大于100m</w:t>
            </w:r>
            <w:r w:rsidRPr="00EF4836">
              <w:rPr>
                <w:rFonts w:eastAsia="仿宋_GB2312" w:cs="Calibri"/>
                <w:color w:val="000000"/>
                <w:sz w:val="20"/>
                <w:szCs w:val="20"/>
              </w:rPr>
              <w:t>²</w:t>
            </w:r>
            <w:r w:rsidRPr="00EF4836">
              <w:rPr>
                <w:rFonts w:ascii="仿宋_GB2312" w:eastAsia="仿宋_GB2312" w:hAnsi="仿宋_GB2312" w:cs="仿宋_GB2312" w:hint="eastAsia"/>
                <w:color w:val="000000"/>
                <w:sz w:val="20"/>
                <w:szCs w:val="20"/>
              </w:rPr>
              <w:t>的房间的疏散出口不应少于2个。</w:t>
            </w:r>
          </w:p>
        </w:tc>
        <w:tc>
          <w:tcPr>
            <w:tcW w:w="3868" w:type="dxa"/>
            <w:tcBorders>
              <w:tl2br w:val="nil"/>
              <w:tr2bl w:val="nil"/>
            </w:tcBorders>
            <w:vAlign w:val="center"/>
          </w:tcPr>
          <w:p w14:paraId="2A6C4A1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《危险化学品储存场所建设及储存安全要求》（DB11/T 755）第4.2.6条</w:t>
            </w:r>
          </w:p>
        </w:tc>
        <w:tc>
          <w:tcPr>
            <w:tcW w:w="376" w:type="dxa"/>
            <w:tcBorders>
              <w:tl2br w:val="nil"/>
              <w:tr2bl w:val="nil"/>
            </w:tcBorders>
          </w:tcPr>
          <w:p w14:paraId="17639EAA"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rPr>
            </w:pPr>
          </w:p>
        </w:tc>
      </w:tr>
      <w:tr w:rsidR="00EF4836" w:rsidRPr="00EF4836" w14:paraId="370D055A" w14:textId="77777777" w:rsidTr="008351BE">
        <w:trPr>
          <w:trHeight w:val="347"/>
          <w:jc w:val="center"/>
        </w:trPr>
        <w:tc>
          <w:tcPr>
            <w:tcW w:w="971" w:type="dxa"/>
            <w:tcBorders>
              <w:tl2br w:val="nil"/>
              <w:tr2bl w:val="nil"/>
            </w:tcBorders>
            <w:vAlign w:val="center"/>
          </w:tcPr>
          <w:p w14:paraId="6FF79A04"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15.4.04.145</w:t>
            </w:r>
          </w:p>
        </w:tc>
        <w:tc>
          <w:tcPr>
            <w:tcW w:w="1064" w:type="dxa"/>
            <w:tcBorders>
              <w:tl2br w:val="nil"/>
              <w:tr2bl w:val="nil"/>
            </w:tcBorders>
            <w:vAlign w:val="center"/>
          </w:tcPr>
          <w:p w14:paraId="08DC72E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0C31E87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作业环境类</w:t>
            </w:r>
          </w:p>
        </w:tc>
        <w:tc>
          <w:tcPr>
            <w:tcW w:w="2861" w:type="dxa"/>
            <w:tcBorders>
              <w:tl2br w:val="nil"/>
              <w:tr2bl w:val="nil"/>
            </w:tcBorders>
            <w:vAlign w:val="center"/>
          </w:tcPr>
          <w:p w14:paraId="71AF9BB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危险化学品仓库门未采用具有防火、防静电、防腐、不产生火花等功能的材料制成，门未向疏散方向开启。</w:t>
            </w:r>
          </w:p>
        </w:tc>
        <w:tc>
          <w:tcPr>
            <w:tcW w:w="3889" w:type="dxa"/>
            <w:tcBorders>
              <w:tl2br w:val="nil"/>
              <w:tr2bl w:val="nil"/>
            </w:tcBorders>
            <w:vAlign w:val="center"/>
          </w:tcPr>
          <w:p w14:paraId="78F63CD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危险化学品仓库门应根据危险化学品性质相应采用具有防火、防静电、防腐、不产生火花等功能的材料制成，门应向疏散方向开启。</w:t>
            </w:r>
          </w:p>
        </w:tc>
        <w:tc>
          <w:tcPr>
            <w:tcW w:w="3868" w:type="dxa"/>
            <w:tcBorders>
              <w:tl2br w:val="nil"/>
              <w:tr2bl w:val="nil"/>
            </w:tcBorders>
            <w:vAlign w:val="center"/>
          </w:tcPr>
          <w:p w14:paraId="19899B5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《危险化学品储存场所建设及储存安全要求》（DB11/T 755）第4.2.7条</w:t>
            </w:r>
          </w:p>
        </w:tc>
        <w:tc>
          <w:tcPr>
            <w:tcW w:w="376" w:type="dxa"/>
            <w:tcBorders>
              <w:tl2br w:val="nil"/>
              <w:tr2bl w:val="nil"/>
            </w:tcBorders>
          </w:tcPr>
          <w:p w14:paraId="4F1A17B9"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rPr>
            </w:pPr>
          </w:p>
        </w:tc>
      </w:tr>
      <w:tr w:rsidR="00EF4836" w:rsidRPr="00EF4836" w14:paraId="450DC519" w14:textId="77777777" w:rsidTr="008351BE">
        <w:trPr>
          <w:trHeight w:val="347"/>
          <w:jc w:val="center"/>
        </w:trPr>
        <w:tc>
          <w:tcPr>
            <w:tcW w:w="971" w:type="dxa"/>
            <w:tcBorders>
              <w:tl2br w:val="nil"/>
              <w:tr2bl w:val="nil"/>
            </w:tcBorders>
            <w:vAlign w:val="center"/>
          </w:tcPr>
          <w:p w14:paraId="09930BD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15.1.07.146</w:t>
            </w:r>
          </w:p>
        </w:tc>
        <w:tc>
          <w:tcPr>
            <w:tcW w:w="1064" w:type="dxa"/>
            <w:tcBorders>
              <w:tl2br w:val="nil"/>
              <w:tr2bl w:val="nil"/>
            </w:tcBorders>
            <w:vAlign w:val="center"/>
          </w:tcPr>
          <w:p w14:paraId="6938F44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基础资料类</w:t>
            </w:r>
          </w:p>
        </w:tc>
        <w:tc>
          <w:tcPr>
            <w:tcW w:w="1089" w:type="dxa"/>
            <w:tcBorders>
              <w:tl2br w:val="nil"/>
              <w:tr2bl w:val="nil"/>
            </w:tcBorders>
            <w:vAlign w:val="center"/>
          </w:tcPr>
          <w:p w14:paraId="4900B0E5"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风险辨识类</w:t>
            </w:r>
          </w:p>
        </w:tc>
        <w:tc>
          <w:tcPr>
            <w:tcW w:w="2861" w:type="dxa"/>
            <w:tcBorders>
              <w:tl2br w:val="nil"/>
              <w:tr2bl w:val="nil"/>
            </w:tcBorders>
            <w:vAlign w:val="center"/>
          </w:tcPr>
          <w:p w14:paraId="3A8F1E4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危险化学品仓库未确定爆炸危险区域。</w:t>
            </w:r>
          </w:p>
        </w:tc>
        <w:tc>
          <w:tcPr>
            <w:tcW w:w="3889" w:type="dxa"/>
            <w:tcBorders>
              <w:tl2br w:val="nil"/>
              <w:tr2bl w:val="nil"/>
            </w:tcBorders>
            <w:vAlign w:val="center"/>
          </w:tcPr>
          <w:p w14:paraId="1F886E0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危险化学品仓库应根据存储的危险化学品的性质确定爆炸危险区域。</w:t>
            </w:r>
          </w:p>
        </w:tc>
        <w:tc>
          <w:tcPr>
            <w:tcW w:w="3868" w:type="dxa"/>
            <w:tcBorders>
              <w:tl2br w:val="nil"/>
              <w:tr2bl w:val="nil"/>
            </w:tcBorders>
            <w:vAlign w:val="center"/>
          </w:tcPr>
          <w:p w14:paraId="4FF1777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《危险化学品储存场所建设及储存安全要求》（DB11/T 755）第4.2.8条</w:t>
            </w:r>
          </w:p>
        </w:tc>
        <w:tc>
          <w:tcPr>
            <w:tcW w:w="376" w:type="dxa"/>
            <w:tcBorders>
              <w:tl2br w:val="nil"/>
              <w:tr2bl w:val="nil"/>
            </w:tcBorders>
          </w:tcPr>
          <w:p w14:paraId="7D807B79"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rPr>
            </w:pPr>
          </w:p>
        </w:tc>
      </w:tr>
      <w:tr w:rsidR="00EF4836" w:rsidRPr="00EF4836" w14:paraId="6470257E" w14:textId="77777777" w:rsidTr="008351BE">
        <w:trPr>
          <w:trHeight w:val="347"/>
          <w:jc w:val="center"/>
        </w:trPr>
        <w:tc>
          <w:tcPr>
            <w:tcW w:w="971" w:type="dxa"/>
            <w:tcBorders>
              <w:tl2br w:val="nil"/>
              <w:tr2bl w:val="nil"/>
            </w:tcBorders>
            <w:vAlign w:val="center"/>
          </w:tcPr>
          <w:p w14:paraId="3C4F188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15.2.09.147</w:t>
            </w:r>
          </w:p>
        </w:tc>
        <w:tc>
          <w:tcPr>
            <w:tcW w:w="1064" w:type="dxa"/>
            <w:tcBorders>
              <w:tl2br w:val="nil"/>
              <w:tr2bl w:val="nil"/>
            </w:tcBorders>
            <w:vAlign w:val="center"/>
          </w:tcPr>
          <w:p w14:paraId="416D326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1533BC8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监控系统类</w:t>
            </w:r>
          </w:p>
        </w:tc>
        <w:tc>
          <w:tcPr>
            <w:tcW w:w="2861" w:type="dxa"/>
            <w:tcBorders>
              <w:tl2br w:val="nil"/>
              <w:tr2bl w:val="nil"/>
            </w:tcBorders>
            <w:vAlign w:val="center"/>
          </w:tcPr>
          <w:p w14:paraId="7CD4BE2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照明设施和电气设备的配电箱及电气开关未可靠接地，未安装过电压保护、过电流保护、电击防护、电气火灾监控等保护措施。</w:t>
            </w:r>
          </w:p>
        </w:tc>
        <w:tc>
          <w:tcPr>
            <w:tcW w:w="3889" w:type="dxa"/>
            <w:tcBorders>
              <w:tl2br w:val="nil"/>
              <w:tr2bl w:val="nil"/>
            </w:tcBorders>
            <w:vAlign w:val="center"/>
          </w:tcPr>
          <w:p w14:paraId="08904EC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危险化学品仓库的配电箱及照明、通风等电气设备的开关应设置在仓库外，仓库爆炸危险区域内的电气设备和输配电线路的设计、选型、安装应符合GB 3836.15、GB 50058的要求。照明设施和电气设备的配电箱及电气开关应可靠接地，安装过电压保护、过电流保护、电击防护、电气火灾监控等保护措施，仓库外的电气设备应根据安装环境条件，选择适宜的IP外壳防护等级。</w:t>
            </w:r>
          </w:p>
        </w:tc>
        <w:tc>
          <w:tcPr>
            <w:tcW w:w="3868" w:type="dxa"/>
            <w:tcBorders>
              <w:tl2br w:val="nil"/>
              <w:tr2bl w:val="nil"/>
            </w:tcBorders>
            <w:vAlign w:val="center"/>
          </w:tcPr>
          <w:p w14:paraId="232A724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《危险化学品储存场所建设及储存安全要求》（DB11/T 755）第4.2.10条</w:t>
            </w:r>
          </w:p>
        </w:tc>
        <w:tc>
          <w:tcPr>
            <w:tcW w:w="376" w:type="dxa"/>
            <w:tcBorders>
              <w:tl2br w:val="nil"/>
              <w:tr2bl w:val="nil"/>
            </w:tcBorders>
          </w:tcPr>
          <w:p w14:paraId="2E6E9C55"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rPr>
            </w:pPr>
          </w:p>
        </w:tc>
      </w:tr>
      <w:tr w:rsidR="00EF4836" w:rsidRPr="00EF4836" w14:paraId="3AA393BA" w14:textId="77777777" w:rsidTr="008351BE">
        <w:trPr>
          <w:trHeight w:val="347"/>
          <w:jc w:val="center"/>
        </w:trPr>
        <w:tc>
          <w:tcPr>
            <w:tcW w:w="971" w:type="dxa"/>
            <w:tcBorders>
              <w:tl2br w:val="nil"/>
              <w:tr2bl w:val="nil"/>
            </w:tcBorders>
            <w:vAlign w:val="center"/>
          </w:tcPr>
          <w:p w14:paraId="3D5B50F4"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15.2.09.148</w:t>
            </w:r>
          </w:p>
        </w:tc>
        <w:tc>
          <w:tcPr>
            <w:tcW w:w="1064" w:type="dxa"/>
            <w:tcBorders>
              <w:tl2br w:val="nil"/>
              <w:tr2bl w:val="nil"/>
            </w:tcBorders>
            <w:vAlign w:val="center"/>
          </w:tcPr>
          <w:p w14:paraId="733D75F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17E41A1E"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监控系统类</w:t>
            </w:r>
          </w:p>
        </w:tc>
        <w:tc>
          <w:tcPr>
            <w:tcW w:w="2861" w:type="dxa"/>
            <w:tcBorders>
              <w:tl2br w:val="nil"/>
              <w:tr2bl w:val="nil"/>
            </w:tcBorders>
            <w:vAlign w:val="center"/>
          </w:tcPr>
          <w:p w14:paraId="24CAB52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电气火灾监控系统未独立组成，电气火灾监控探测器的设置影响所在场所供配电系统的正常工作。</w:t>
            </w:r>
          </w:p>
        </w:tc>
        <w:tc>
          <w:tcPr>
            <w:tcW w:w="3889" w:type="dxa"/>
            <w:tcBorders>
              <w:tl2br w:val="nil"/>
              <w:tr2bl w:val="nil"/>
            </w:tcBorders>
            <w:vAlign w:val="center"/>
          </w:tcPr>
          <w:p w14:paraId="0F94AB9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电气火灾监控系统应独立组成，电气火灾监控探测器的设置不应影响所在场所供配电系统的正常工作。</w:t>
            </w:r>
          </w:p>
        </w:tc>
        <w:tc>
          <w:tcPr>
            <w:tcW w:w="3868" w:type="dxa"/>
            <w:tcBorders>
              <w:tl2br w:val="nil"/>
              <w:tr2bl w:val="nil"/>
            </w:tcBorders>
            <w:vAlign w:val="center"/>
          </w:tcPr>
          <w:p w14:paraId="558723C2"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《危险化学品储存场所建设及储存安全要求》（DB11/T 755）第4.2.11条</w:t>
            </w:r>
          </w:p>
        </w:tc>
        <w:tc>
          <w:tcPr>
            <w:tcW w:w="376" w:type="dxa"/>
            <w:tcBorders>
              <w:tl2br w:val="nil"/>
              <w:tr2bl w:val="nil"/>
            </w:tcBorders>
          </w:tcPr>
          <w:p w14:paraId="3C739EE5"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rPr>
            </w:pPr>
          </w:p>
        </w:tc>
      </w:tr>
      <w:tr w:rsidR="00EF4836" w:rsidRPr="00EF4836" w14:paraId="5C622243" w14:textId="77777777" w:rsidTr="008351BE">
        <w:trPr>
          <w:trHeight w:val="347"/>
          <w:jc w:val="center"/>
        </w:trPr>
        <w:tc>
          <w:tcPr>
            <w:tcW w:w="971" w:type="dxa"/>
            <w:tcBorders>
              <w:tl2br w:val="nil"/>
              <w:tr2bl w:val="nil"/>
            </w:tcBorders>
            <w:vAlign w:val="center"/>
          </w:tcPr>
          <w:p w14:paraId="30672CE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15.2.09.149</w:t>
            </w:r>
          </w:p>
        </w:tc>
        <w:tc>
          <w:tcPr>
            <w:tcW w:w="1064" w:type="dxa"/>
            <w:tcBorders>
              <w:tl2br w:val="nil"/>
              <w:tr2bl w:val="nil"/>
            </w:tcBorders>
            <w:vAlign w:val="center"/>
          </w:tcPr>
          <w:p w14:paraId="0133383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2500980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监控系统类</w:t>
            </w:r>
          </w:p>
        </w:tc>
        <w:tc>
          <w:tcPr>
            <w:tcW w:w="2861" w:type="dxa"/>
            <w:tcBorders>
              <w:tl2br w:val="nil"/>
              <w:tr2bl w:val="nil"/>
            </w:tcBorders>
            <w:vAlign w:val="center"/>
          </w:tcPr>
          <w:p w14:paraId="22D6378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仓库及其出入口未设置视频监控设备。</w:t>
            </w:r>
          </w:p>
        </w:tc>
        <w:tc>
          <w:tcPr>
            <w:tcW w:w="3889" w:type="dxa"/>
            <w:tcBorders>
              <w:tl2br w:val="nil"/>
              <w:tr2bl w:val="nil"/>
            </w:tcBorders>
            <w:vAlign w:val="center"/>
          </w:tcPr>
          <w:p w14:paraId="0F1C8D8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危险化学品仓库及其出入口应设置视频监控设备。视频监控系统建设应符合DB11/T 384（所有部分）的要求。</w:t>
            </w:r>
          </w:p>
        </w:tc>
        <w:tc>
          <w:tcPr>
            <w:tcW w:w="3868" w:type="dxa"/>
            <w:tcBorders>
              <w:tl2br w:val="nil"/>
              <w:tr2bl w:val="nil"/>
            </w:tcBorders>
            <w:vAlign w:val="center"/>
          </w:tcPr>
          <w:p w14:paraId="556EF3B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《危险化学品储存场所建设及储存安全要求》（DB11/T 755）第4.2.12条</w:t>
            </w:r>
          </w:p>
        </w:tc>
        <w:tc>
          <w:tcPr>
            <w:tcW w:w="376" w:type="dxa"/>
            <w:tcBorders>
              <w:tl2br w:val="nil"/>
              <w:tr2bl w:val="nil"/>
            </w:tcBorders>
          </w:tcPr>
          <w:p w14:paraId="1C895A83"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rPr>
            </w:pPr>
          </w:p>
        </w:tc>
      </w:tr>
      <w:tr w:rsidR="00EF4836" w:rsidRPr="00EF4836" w14:paraId="4D4A66BA" w14:textId="77777777" w:rsidTr="008351BE">
        <w:trPr>
          <w:trHeight w:val="347"/>
          <w:jc w:val="center"/>
        </w:trPr>
        <w:tc>
          <w:tcPr>
            <w:tcW w:w="971" w:type="dxa"/>
            <w:tcBorders>
              <w:tl2br w:val="nil"/>
              <w:tr2bl w:val="nil"/>
            </w:tcBorders>
            <w:vAlign w:val="center"/>
          </w:tcPr>
          <w:p w14:paraId="3BC959E7"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15.2.09.150</w:t>
            </w:r>
          </w:p>
        </w:tc>
        <w:tc>
          <w:tcPr>
            <w:tcW w:w="1064" w:type="dxa"/>
            <w:tcBorders>
              <w:tl2br w:val="nil"/>
              <w:tr2bl w:val="nil"/>
            </w:tcBorders>
            <w:vAlign w:val="center"/>
          </w:tcPr>
          <w:p w14:paraId="368ACC88"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05D5608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监控系统类</w:t>
            </w:r>
          </w:p>
        </w:tc>
        <w:tc>
          <w:tcPr>
            <w:tcW w:w="2861" w:type="dxa"/>
            <w:tcBorders>
              <w:tl2br w:val="nil"/>
              <w:tr2bl w:val="nil"/>
            </w:tcBorders>
            <w:vAlign w:val="center"/>
          </w:tcPr>
          <w:p w14:paraId="65E54D8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仓库的防雷、防静电等不符合要求。</w:t>
            </w:r>
          </w:p>
        </w:tc>
        <w:tc>
          <w:tcPr>
            <w:tcW w:w="3889" w:type="dxa"/>
            <w:tcBorders>
              <w:tl2br w:val="nil"/>
              <w:tr2bl w:val="nil"/>
            </w:tcBorders>
            <w:vAlign w:val="center"/>
          </w:tcPr>
          <w:p w14:paraId="28DBDAC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危险化学品仓库的防雷、防静电等不符合GB 50016、GB 50037、GB 50057、GB 12158的要求。</w:t>
            </w:r>
          </w:p>
        </w:tc>
        <w:tc>
          <w:tcPr>
            <w:tcW w:w="3868" w:type="dxa"/>
            <w:tcBorders>
              <w:tl2br w:val="nil"/>
              <w:tr2bl w:val="nil"/>
            </w:tcBorders>
            <w:vAlign w:val="center"/>
          </w:tcPr>
          <w:p w14:paraId="156500F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《危险化学品储存场所建设及储存安全要求》（DB11/T 755）第4.2.13条</w:t>
            </w:r>
          </w:p>
        </w:tc>
        <w:tc>
          <w:tcPr>
            <w:tcW w:w="376" w:type="dxa"/>
            <w:tcBorders>
              <w:tl2br w:val="nil"/>
              <w:tr2bl w:val="nil"/>
            </w:tcBorders>
          </w:tcPr>
          <w:p w14:paraId="5EE333E3"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rPr>
            </w:pPr>
          </w:p>
        </w:tc>
      </w:tr>
      <w:tr w:rsidR="00EF4836" w:rsidRPr="00EF4836" w14:paraId="485158A3" w14:textId="77777777" w:rsidTr="008351BE">
        <w:trPr>
          <w:trHeight w:val="347"/>
          <w:jc w:val="center"/>
        </w:trPr>
        <w:tc>
          <w:tcPr>
            <w:tcW w:w="971" w:type="dxa"/>
            <w:tcBorders>
              <w:tl2br w:val="nil"/>
              <w:tr2bl w:val="nil"/>
            </w:tcBorders>
            <w:vAlign w:val="center"/>
          </w:tcPr>
          <w:p w14:paraId="3A53D08D"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15.4.04.151</w:t>
            </w:r>
          </w:p>
        </w:tc>
        <w:tc>
          <w:tcPr>
            <w:tcW w:w="1064" w:type="dxa"/>
            <w:tcBorders>
              <w:tl2br w:val="nil"/>
              <w:tr2bl w:val="nil"/>
            </w:tcBorders>
            <w:vAlign w:val="center"/>
          </w:tcPr>
          <w:p w14:paraId="3C74890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5DBA19F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作业环境类</w:t>
            </w:r>
          </w:p>
        </w:tc>
        <w:tc>
          <w:tcPr>
            <w:tcW w:w="2861" w:type="dxa"/>
            <w:tcBorders>
              <w:tl2br w:val="nil"/>
              <w:tr2bl w:val="nil"/>
            </w:tcBorders>
            <w:vAlign w:val="center"/>
          </w:tcPr>
          <w:p w14:paraId="47836163"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气瓶仓库围墙非三面实墙，屋顶非轻质不燃材料。</w:t>
            </w:r>
          </w:p>
        </w:tc>
        <w:tc>
          <w:tcPr>
            <w:tcW w:w="3889" w:type="dxa"/>
            <w:tcBorders>
              <w:tl2br w:val="nil"/>
              <w:tr2bl w:val="nil"/>
            </w:tcBorders>
            <w:vAlign w:val="center"/>
          </w:tcPr>
          <w:p w14:paraId="163BFD7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气体经营单位的气瓶仓库围墙至少应为三面实墙，屋顶为轻质不燃材料。</w:t>
            </w:r>
          </w:p>
        </w:tc>
        <w:tc>
          <w:tcPr>
            <w:tcW w:w="3868" w:type="dxa"/>
            <w:tcBorders>
              <w:tl2br w:val="nil"/>
              <w:tr2bl w:val="nil"/>
            </w:tcBorders>
            <w:vAlign w:val="center"/>
          </w:tcPr>
          <w:p w14:paraId="16768FC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《危险化学品储存场所建设及储存安全要求》（DB11/T 755）第4.2.14条a）</w:t>
            </w:r>
          </w:p>
        </w:tc>
        <w:tc>
          <w:tcPr>
            <w:tcW w:w="376" w:type="dxa"/>
            <w:tcBorders>
              <w:tl2br w:val="nil"/>
              <w:tr2bl w:val="nil"/>
            </w:tcBorders>
          </w:tcPr>
          <w:p w14:paraId="5D776457"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rPr>
            </w:pPr>
          </w:p>
        </w:tc>
      </w:tr>
      <w:tr w:rsidR="00EF4836" w:rsidRPr="00EF4836" w14:paraId="3737A321" w14:textId="77777777" w:rsidTr="008351BE">
        <w:trPr>
          <w:trHeight w:val="347"/>
          <w:jc w:val="center"/>
        </w:trPr>
        <w:tc>
          <w:tcPr>
            <w:tcW w:w="971" w:type="dxa"/>
            <w:tcBorders>
              <w:tl2br w:val="nil"/>
              <w:tr2bl w:val="nil"/>
            </w:tcBorders>
            <w:vAlign w:val="center"/>
          </w:tcPr>
          <w:p w14:paraId="73C248C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15.4.04.152</w:t>
            </w:r>
          </w:p>
        </w:tc>
        <w:tc>
          <w:tcPr>
            <w:tcW w:w="1064" w:type="dxa"/>
            <w:tcBorders>
              <w:tl2br w:val="nil"/>
              <w:tr2bl w:val="nil"/>
            </w:tcBorders>
            <w:vAlign w:val="center"/>
          </w:tcPr>
          <w:p w14:paraId="7F6F7CF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73192AA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作业环境类</w:t>
            </w:r>
          </w:p>
        </w:tc>
        <w:tc>
          <w:tcPr>
            <w:tcW w:w="2861" w:type="dxa"/>
            <w:tcBorders>
              <w:tl2br w:val="nil"/>
              <w:tr2bl w:val="nil"/>
            </w:tcBorders>
            <w:vAlign w:val="center"/>
          </w:tcPr>
          <w:p w14:paraId="2786214F"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气瓶仓库门前未设置宽度不少于1m的装卸平台，未设置台阶或缓坡。</w:t>
            </w:r>
          </w:p>
        </w:tc>
        <w:tc>
          <w:tcPr>
            <w:tcW w:w="3889" w:type="dxa"/>
            <w:tcBorders>
              <w:tl2br w:val="nil"/>
              <w:tr2bl w:val="nil"/>
            </w:tcBorders>
            <w:vAlign w:val="center"/>
          </w:tcPr>
          <w:p w14:paraId="5FB8A90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气体经营单位的气瓶仓库门前应设置宽度不少于1m的装卸平台，并设置台阶或缓坡。</w:t>
            </w:r>
          </w:p>
        </w:tc>
        <w:tc>
          <w:tcPr>
            <w:tcW w:w="3868" w:type="dxa"/>
            <w:tcBorders>
              <w:tl2br w:val="nil"/>
              <w:tr2bl w:val="nil"/>
            </w:tcBorders>
            <w:vAlign w:val="center"/>
          </w:tcPr>
          <w:p w14:paraId="4A39E09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《危险化学品储存场所建设及储存安全要求》（DB11/T 755）第4.2.14条b）</w:t>
            </w:r>
          </w:p>
        </w:tc>
        <w:tc>
          <w:tcPr>
            <w:tcW w:w="376" w:type="dxa"/>
            <w:tcBorders>
              <w:tl2br w:val="nil"/>
              <w:tr2bl w:val="nil"/>
            </w:tcBorders>
          </w:tcPr>
          <w:p w14:paraId="2968DECA"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rPr>
            </w:pPr>
          </w:p>
        </w:tc>
      </w:tr>
      <w:tr w:rsidR="00EF4836" w:rsidRPr="00EF4836" w14:paraId="604D66F6" w14:textId="77777777" w:rsidTr="008351BE">
        <w:trPr>
          <w:trHeight w:val="347"/>
          <w:jc w:val="center"/>
        </w:trPr>
        <w:tc>
          <w:tcPr>
            <w:tcW w:w="971" w:type="dxa"/>
            <w:tcBorders>
              <w:tl2br w:val="nil"/>
              <w:tr2bl w:val="nil"/>
            </w:tcBorders>
            <w:vAlign w:val="center"/>
          </w:tcPr>
          <w:p w14:paraId="6C7A0838"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15.4.03.153</w:t>
            </w:r>
          </w:p>
        </w:tc>
        <w:tc>
          <w:tcPr>
            <w:tcW w:w="1064" w:type="dxa"/>
            <w:tcBorders>
              <w:tl2br w:val="nil"/>
              <w:tr2bl w:val="nil"/>
            </w:tcBorders>
            <w:vAlign w:val="center"/>
          </w:tcPr>
          <w:p w14:paraId="209A476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59B1119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标志及标识类</w:t>
            </w:r>
          </w:p>
        </w:tc>
        <w:tc>
          <w:tcPr>
            <w:tcW w:w="2861" w:type="dxa"/>
            <w:tcBorders>
              <w:tl2br w:val="nil"/>
              <w:tr2bl w:val="nil"/>
            </w:tcBorders>
            <w:vAlign w:val="center"/>
          </w:tcPr>
          <w:p w14:paraId="78FD381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仓库空瓶与</w:t>
            </w:r>
            <w:proofErr w:type="gramStart"/>
            <w:r w:rsidRPr="00EF4836">
              <w:rPr>
                <w:rFonts w:ascii="仿宋_GB2312" w:eastAsia="仿宋_GB2312" w:hAnsi="仿宋_GB2312" w:cs="仿宋_GB2312" w:hint="eastAsia"/>
                <w:color w:val="000000"/>
                <w:sz w:val="20"/>
                <w:szCs w:val="20"/>
              </w:rPr>
              <w:t>实瓶未分区</w:t>
            </w:r>
            <w:proofErr w:type="gramEnd"/>
            <w:r w:rsidRPr="00EF4836">
              <w:rPr>
                <w:rFonts w:ascii="仿宋_GB2312" w:eastAsia="仿宋_GB2312" w:hAnsi="仿宋_GB2312" w:cs="仿宋_GB2312" w:hint="eastAsia"/>
                <w:color w:val="000000"/>
                <w:sz w:val="20"/>
                <w:szCs w:val="20"/>
              </w:rPr>
              <w:t>存放，未设置标识，未应设置防倾倒</w:t>
            </w:r>
            <w:r w:rsidRPr="00EF4836">
              <w:rPr>
                <w:rFonts w:ascii="仿宋_GB2312" w:eastAsia="仿宋_GB2312" w:hAnsi="仿宋_GB2312" w:cs="仿宋_GB2312" w:hint="eastAsia"/>
                <w:color w:val="000000"/>
                <w:sz w:val="20"/>
                <w:szCs w:val="20"/>
              </w:rPr>
              <w:lastRenderedPageBreak/>
              <w:t>链或其他防倾倒装置。</w:t>
            </w:r>
          </w:p>
        </w:tc>
        <w:tc>
          <w:tcPr>
            <w:tcW w:w="3889" w:type="dxa"/>
            <w:tcBorders>
              <w:tl2br w:val="nil"/>
              <w:tr2bl w:val="nil"/>
            </w:tcBorders>
            <w:vAlign w:val="center"/>
          </w:tcPr>
          <w:p w14:paraId="255D502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气体经营单位的气瓶仓库空瓶与实瓶应分区存放，并设置标识。气瓶区应设置防倾倒</w:t>
            </w:r>
            <w:r w:rsidRPr="00EF4836">
              <w:rPr>
                <w:rFonts w:ascii="仿宋_GB2312" w:eastAsia="仿宋_GB2312" w:hAnsi="仿宋_GB2312" w:cs="仿宋_GB2312" w:hint="eastAsia"/>
                <w:color w:val="000000"/>
                <w:sz w:val="20"/>
                <w:szCs w:val="20"/>
              </w:rPr>
              <w:lastRenderedPageBreak/>
              <w:t>链或其他防倾倒装置。</w:t>
            </w:r>
          </w:p>
        </w:tc>
        <w:tc>
          <w:tcPr>
            <w:tcW w:w="3868" w:type="dxa"/>
            <w:tcBorders>
              <w:tl2br w:val="nil"/>
              <w:tr2bl w:val="nil"/>
            </w:tcBorders>
            <w:vAlign w:val="center"/>
          </w:tcPr>
          <w:p w14:paraId="07D7B50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《危险化学品储存场所建设及储存安全要求》（DB11/T 755）第4.2.14条c）</w:t>
            </w:r>
          </w:p>
        </w:tc>
        <w:tc>
          <w:tcPr>
            <w:tcW w:w="376" w:type="dxa"/>
            <w:tcBorders>
              <w:tl2br w:val="nil"/>
              <w:tr2bl w:val="nil"/>
            </w:tcBorders>
          </w:tcPr>
          <w:p w14:paraId="794828AD"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rPr>
            </w:pPr>
          </w:p>
        </w:tc>
      </w:tr>
      <w:tr w:rsidR="00EF4836" w:rsidRPr="00EF4836" w14:paraId="7326AE6B" w14:textId="77777777" w:rsidTr="008351BE">
        <w:trPr>
          <w:trHeight w:val="347"/>
          <w:jc w:val="center"/>
        </w:trPr>
        <w:tc>
          <w:tcPr>
            <w:tcW w:w="971" w:type="dxa"/>
            <w:tcBorders>
              <w:tl2br w:val="nil"/>
              <w:tr2bl w:val="nil"/>
            </w:tcBorders>
            <w:vAlign w:val="center"/>
          </w:tcPr>
          <w:p w14:paraId="1473DDC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15.2.03.154</w:t>
            </w:r>
          </w:p>
        </w:tc>
        <w:tc>
          <w:tcPr>
            <w:tcW w:w="1064" w:type="dxa"/>
            <w:tcBorders>
              <w:tl2br w:val="nil"/>
              <w:tr2bl w:val="nil"/>
            </w:tcBorders>
            <w:vAlign w:val="center"/>
          </w:tcPr>
          <w:p w14:paraId="3C102982"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531530A0"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辅助系统设备设施类</w:t>
            </w:r>
          </w:p>
        </w:tc>
        <w:tc>
          <w:tcPr>
            <w:tcW w:w="2861" w:type="dxa"/>
            <w:tcBorders>
              <w:tl2br w:val="nil"/>
              <w:tr2bl w:val="nil"/>
            </w:tcBorders>
            <w:vAlign w:val="center"/>
          </w:tcPr>
          <w:p w14:paraId="6EF7402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气瓶仓库对储存气体与空气的相对密度小于或等于0.75的气瓶仓库，库顶部未设置有通风的窗口；对储存气体与空气的相对密度大于0.75的气瓶仓库，靠近地面的墙体上未设置通风口，通风口未设有防虫网和防雨罩。</w:t>
            </w:r>
          </w:p>
        </w:tc>
        <w:tc>
          <w:tcPr>
            <w:tcW w:w="3889" w:type="dxa"/>
            <w:tcBorders>
              <w:tl2br w:val="nil"/>
              <w:tr2bl w:val="nil"/>
            </w:tcBorders>
            <w:vAlign w:val="center"/>
          </w:tcPr>
          <w:p w14:paraId="1E64930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气体经营单位的气瓶仓库对储存气体与空气的相对密度小于或等于0.75的气瓶仓库，库顶部应设置有通风的窗口；对储存气体与空气的相对密度大于0.75的气瓶仓库，靠近地面的墙体上应设置通风口，通风口应设有防虫网和防雨罩。</w:t>
            </w:r>
          </w:p>
        </w:tc>
        <w:tc>
          <w:tcPr>
            <w:tcW w:w="3868" w:type="dxa"/>
            <w:tcBorders>
              <w:tl2br w:val="nil"/>
              <w:tr2bl w:val="nil"/>
            </w:tcBorders>
            <w:vAlign w:val="center"/>
          </w:tcPr>
          <w:p w14:paraId="13682C7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《危险化学品储存场所建设及储存安全要求》（DB11/T 755）第4.2.14条d）</w:t>
            </w:r>
          </w:p>
        </w:tc>
        <w:tc>
          <w:tcPr>
            <w:tcW w:w="376" w:type="dxa"/>
            <w:tcBorders>
              <w:tl2br w:val="nil"/>
              <w:tr2bl w:val="nil"/>
            </w:tcBorders>
          </w:tcPr>
          <w:p w14:paraId="1E7E6CF5"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rPr>
            </w:pPr>
          </w:p>
        </w:tc>
      </w:tr>
      <w:tr w:rsidR="00EF4836" w:rsidRPr="00EF4836" w14:paraId="2B5A15C3" w14:textId="77777777" w:rsidTr="008351BE">
        <w:trPr>
          <w:trHeight w:val="347"/>
          <w:jc w:val="center"/>
        </w:trPr>
        <w:tc>
          <w:tcPr>
            <w:tcW w:w="971" w:type="dxa"/>
            <w:tcBorders>
              <w:tl2br w:val="nil"/>
              <w:tr2bl w:val="nil"/>
            </w:tcBorders>
            <w:vAlign w:val="center"/>
          </w:tcPr>
          <w:p w14:paraId="2DFE40A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15.3.02.155</w:t>
            </w:r>
          </w:p>
        </w:tc>
        <w:tc>
          <w:tcPr>
            <w:tcW w:w="1064" w:type="dxa"/>
            <w:tcBorders>
              <w:tl2br w:val="nil"/>
              <w:tr2bl w:val="nil"/>
            </w:tcBorders>
            <w:vAlign w:val="center"/>
          </w:tcPr>
          <w:p w14:paraId="0E02EADD"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人员类</w:t>
            </w:r>
          </w:p>
        </w:tc>
        <w:tc>
          <w:tcPr>
            <w:tcW w:w="1089" w:type="dxa"/>
            <w:tcBorders>
              <w:tl2br w:val="nil"/>
              <w:tr2bl w:val="nil"/>
            </w:tcBorders>
            <w:vAlign w:val="center"/>
          </w:tcPr>
          <w:p w14:paraId="20F8C97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操作行为类</w:t>
            </w:r>
          </w:p>
        </w:tc>
        <w:tc>
          <w:tcPr>
            <w:tcW w:w="2861" w:type="dxa"/>
            <w:tcBorders>
              <w:tl2br w:val="nil"/>
              <w:tr2bl w:val="nil"/>
            </w:tcBorders>
            <w:vAlign w:val="center"/>
          </w:tcPr>
          <w:p w14:paraId="0356E33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物品入库前未见专人进行检查，未确认便准许入库；</w:t>
            </w:r>
          </w:p>
          <w:p w14:paraId="37581CF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入库危险化学品的品名、规格、数量与入库信息或单据不一致；</w:t>
            </w:r>
          </w:p>
          <w:p w14:paraId="4A5BCAA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入库物品的包装不完好，标志、安全标签不规范、清晰。</w:t>
            </w:r>
          </w:p>
        </w:tc>
        <w:tc>
          <w:tcPr>
            <w:tcW w:w="3889" w:type="dxa"/>
            <w:tcBorders>
              <w:tl2br w:val="nil"/>
              <w:tr2bl w:val="nil"/>
            </w:tcBorders>
            <w:vAlign w:val="center"/>
          </w:tcPr>
          <w:p w14:paraId="3E79645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物品入库前应有专人对以下内容进行检查，确认无误后，方准许入库：</w:t>
            </w:r>
          </w:p>
          <w:p w14:paraId="520B665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入库危险化学品的品名、规格、数量与入库信息或单据是否一致；</w:t>
            </w:r>
          </w:p>
          <w:p w14:paraId="1A62512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入库物品的包装是否完好，标志、安全标签是否规范、清晰。</w:t>
            </w:r>
          </w:p>
        </w:tc>
        <w:tc>
          <w:tcPr>
            <w:tcW w:w="3868" w:type="dxa"/>
            <w:tcBorders>
              <w:tl2br w:val="nil"/>
              <w:tr2bl w:val="nil"/>
            </w:tcBorders>
            <w:vAlign w:val="center"/>
          </w:tcPr>
          <w:p w14:paraId="48CF2EF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《危险化学品储存场所建设及储存安全要求》（DB11/T 755）第5.2.1条</w:t>
            </w:r>
          </w:p>
        </w:tc>
        <w:tc>
          <w:tcPr>
            <w:tcW w:w="376" w:type="dxa"/>
            <w:tcBorders>
              <w:tl2br w:val="nil"/>
              <w:tr2bl w:val="nil"/>
            </w:tcBorders>
          </w:tcPr>
          <w:p w14:paraId="4F487FC2"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rPr>
            </w:pPr>
          </w:p>
        </w:tc>
      </w:tr>
      <w:tr w:rsidR="00EF4836" w:rsidRPr="00EF4836" w14:paraId="0B5487D2" w14:textId="77777777" w:rsidTr="008351BE">
        <w:trPr>
          <w:trHeight w:val="347"/>
          <w:jc w:val="center"/>
        </w:trPr>
        <w:tc>
          <w:tcPr>
            <w:tcW w:w="971" w:type="dxa"/>
            <w:tcBorders>
              <w:tl2br w:val="nil"/>
              <w:tr2bl w:val="nil"/>
            </w:tcBorders>
            <w:vAlign w:val="center"/>
          </w:tcPr>
          <w:p w14:paraId="3A019CFA"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15.4.04.156</w:t>
            </w:r>
          </w:p>
        </w:tc>
        <w:tc>
          <w:tcPr>
            <w:tcW w:w="1064" w:type="dxa"/>
            <w:tcBorders>
              <w:tl2br w:val="nil"/>
              <w:tr2bl w:val="nil"/>
            </w:tcBorders>
            <w:vAlign w:val="center"/>
          </w:tcPr>
          <w:p w14:paraId="6AEFF31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场所环境类</w:t>
            </w:r>
          </w:p>
        </w:tc>
        <w:tc>
          <w:tcPr>
            <w:tcW w:w="1089" w:type="dxa"/>
            <w:tcBorders>
              <w:tl2br w:val="nil"/>
              <w:tr2bl w:val="nil"/>
            </w:tcBorders>
            <w:vAlign w:val="center"/>
          </w:tcPr>
          <w:p w14:paraId="124CC1A0"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作业环境类</w:t>
            </w:r>
          </w:p>
        </w:tc>
        <w:tc>
          <w:tcPr>
            <w:tcW w:w="2861" w:type="dxa"/>
            <w:tcBorders>
              <w:tl2br w:val="nil"/>
              <w:tr2bl w:val="nil"/>
            </w:tcBorders>
            <w:vAlign w:val="center"/>
          </w:tcPr>
          <w:p w14:paraId="25ACC0B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库房储存物资未按照设计单位划定的堆装区域线和核定的存放量储存。</w:t>
            </w:r>
          </w:p>
        </w:tc>
        <w:tc>
          <w:tcPr>
            <w:tcW w:w="3889" w:type="dxa"/>
            <w:tcBorders>
              <w:tl2br w:val="nil"/>
              <w:tr2bl w:val="nil"/>
            </w:tcBorders>
            <w:vAlign w:val="center"/>
          </w:tcPr>
          <w:p w14:paraId="6F69D8B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库房储存物资应按照设计单位划定的堆装区域线和核定的存放量储存。</w:t>
            </w:r>
          </w:p>
          <w:p w14:paraId="4AAAB83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p>
        </w:tc>
        <w:tc>
          <w:tcPr>
            <w:tcW w:w="3868" w:type="dxa"/>
            <w:tcBorders>
              <w:tl2br w:val="nil"/>
              <w:tr2bl w:val="nil"/>
            </w:tcBorders>
            <w:vAlign w:val="center"/>
          </w:tcPr>
          <w:p w14:paraId="126A25E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《危险化学品储存场所建设及储存安全要求》（DB11/T 755）第5.2.2条</w:t>
            </w:r>
          </w:p>
        </w:tc>
        <w:tc>
          <w:tcPr>
            <w:tcW w:w="376" w:type="dxa"/>
            <w:tcBorders>
              <w:tl2br w:val="nil"/>
              <w:tr2bl w:val="nil"/>
            </w:tcBorders>
          </w:tcPr>
          <w:p w14:paraId="0D3D7F97"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rPr>
            </w:pPr>
          </w:p>
        </w:tc>
      </w:tr>
      <w:tr w:rsidR="00EF4836" w:rsidRPr="00EF4836" w14:paraId="0A3C0468" w14:textId="77777777" w:rsidTr="008351BE">
        <w:trPr>
          <w:trHeight w:val="347"/>
          <w:jc w:val="center"/>
        </w:trPr>
        <w:tc>
          <w:tcPr>
            <w:tcW w:w="971" w:type="dxa"/>
            <w:tcBorders>
              <w:tl2br w:val="nil"/>
              <w:tr2bl w:val="nil"/>
            </w:tcBorders>
            <w:vAlign w:val="center"/>
          </w:tcPr>
          <w:p w14:paraId="44EB2D1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15.2.03.157</w:t>
            </w:r>
          </w:p>
        </w:tc>
        <w:tc>
          <w:tcPr>
            <w:tcW w:w="1064" w:type="dxa"/>
            <w:tcBorders>
              <w:tl2br w:val="nil"/>
              <w:tr2bl w:val="nil"/>
            </w:tcBorders>
            <w:vAlign w:val="center"/>
          </w:tcPr>
          <w:p w14:paraId="0D2DFF90"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38B1E4D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辅助系统设备设施类</w:t>
            </w:r>
          </w:p>
        </w:tc>
        <w:tc>
          <w:tcPr>
            <w:tcW w:w="2861" w:type="dxa"/>
            <w:tcBorders>
              <w:tl2br w:val="nil"/>
              <w:tr2bl w:val="nil"/>
            </w:tcBorders>
            <w:vAlign w:val="center"/>
          </w:tcPr>
          <w:p w14:paraId="1BA6034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库房内设置货架未采用非燃烧材料制作；物品未置于托盘上并采取固定措施；货架及其周围未设置防护措施。</w:t>
            </w:r>
          </w:p>
        </w:tc>
        <w:tc>
          <w:tcPr>
            <w:tcW w:w="3889" w:type="dxa"/>
            <w:tcBorders>
              <w:tl2br w:val="nil"/>
              <w:tr2bl w:val="nil"/>
            </w:tcBorders>
            <w:vAlign w:val="center"/>
          </w:tcPr>
          <w:p w14:paraId="4AD85A1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库房内设置货架堆放物品时，货架应采用非燃烧材料制作，物品应置于托盘上并采取固定措施；装载应根据供应商规定的加载方式进行，单元荷载不应大于额定荷载；货架及其周围应设置防护措施，不应遮挡、占压消防设备、安全设施、安全标志和人员疏散通道。</w:t>
            </w:r>
          </w:p>
        </w:tc>
        <w:tc>
          <w:tcPr>
            <w:tcW w:w="3868" w:type="dxa"/>
            <w:tcBorders>
              <w:tl2br w:val="nil"/>
              <w:tr2bl w:val="nil"/>
            </w:tcBorders>
            <w:vAlign w:val="center"/>
          </w:tcPr>
          <w:p w14:paraId="6905E18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《危险化学品储存场所建设及储存安全要求》（DB11/T 755）第5.2.3条</w:t>
            </w:r>
          </w:p>
        </w:tc>
        <w:tc>
          <w:tcPr>
            <w:tcW w:w="376" w:type="dxa"/>
            <w:tcBorders>
              <w:tl2br w:val="nil"/>
              <w:tr2bl w:val="nil"/>
            </w:tcBorders>
          </w:tcPr>
          <w:p w14:paraId="21A9CD77"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rPr>
            </w:pPr>
          </w:p>
        </w:tc>
      </w:tr>
      <w:tr w:rsidR="00EF4836" w:rsidRPr="00EF4836" w14:paraId="6F35DFFA" w14:textId="77777777" w:rsidTr="008351BE">
        <w:trPr>
          <w:trHeight w:val="347"/>
          <w:jc w:val="center"/>
        </w:trPr>
        <w:tc>
          <w:tcPr>
            <w:tcW w:w="971" w:type="dxa"/>
            <w:tcBorders>
              <w:tl2br w:val="nil"/>
              <w:tr2bl w:val="nil"/>
            </w:tcBorders>
            <w:vAlign w:val="center"/>
          </w:tcPr>
          <w:p w14:paraId="3B81C9C5"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15.3.02</w:t>
            </w:r>
            <w:r w:rsidRPr="00EF4836">
              <w:rPr>
                <w:rFonts w:ascii="仿宋_GB2312" w:eastAsia="仿宋_GB2312" w:hAnsi="仿宋_GB2312" w:cs="仿宋_GB2312" w:hint="eastAsia"/>
                <w:color w:val="000000"/>
                <w:sz w:val="20"/>
                <w:szCs w:val="20"/>
              </w:rPr>
              <w:lastRenderedPageBreak/>
              <w:t>.158</w:t>
            </w:r>
          </w:p>
        </w:tc>
        <w:tc>
          <w:tcPr>
            <w:tcW w:w="1064" w:type="dxa"/>
            <w:tcBorders>
              <w:tl2br w:val="nil"/>
              <w:tr2bl w:val="nil"/>
            </w:tcBorders>
            <w:vAlign w:val="center"/>
          </w:tcPr>
          <w:p w14:paraId="7D26690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人员类</w:t>
            </w:r>
          </w:p>
        </w:tc>
        <w:tc>
          <w:tcPr>
            <w:tcW w:w="1089" w:type="dxa"/>
            <w:tcBorders>
              <w:tl2br w:val="nil"/>
              <w:tr2bl w:val="nil"/>
            </w:tcBorders>
            <w:vAlign w:val="center"/>
          </w:tcPr>
          <w:p w14:paraId="4598F36F"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操作行为</w:t>
            </w:r>
            <w:r w:rsidRPr="00EF4836">
              <w:rPr>
                <w:rFonts w:ascii="仿宋_GB2312" w:eastAsia="仿宋_GB2312" w:hAnsi="仿宋_GB2312" w:cs="仿宋_GB2312" w:hint="eastAsia"/>
                <w:color w:val="000000"/>
                <w:sz w:val="20"/>
                <w:szCs w:val="20"/>
              </w:rPr>
              <w:lastRenderedPageBreak/>
              <w:t>类</w:t>
            </w:r>
          </w:p>
        </w:tc>
        <w:tc>
          <w:tcPr>
            <w:tcW w:w="2861" w:type="dxa"/>
            <w:tcBorders>
              <w:tl2br w:val="nil"/>
              <w:tr2bl w:val="nil"/>
            </w:tcBorders>
            <w:vAlign w:val="center"/>
          </w:tcPr>
          <w:p w14:paraId="17BFCFC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仓库的储存、装卸搬运与堆码、</w:t>
            </w:r>
            <w:r w:rsidRPr="00EF4836">
              <w:rPr>
                <w:rFonts w:ascii="仿宋_GB2312" w:eastAsia="仿宋_GB2312" w:hAnsi="仿宋_GB2312" w:cs="仿宋_GB2312" w:hint="eastAsia"/>
                <w:color w:val="000000"/>
                <w:sz w:val="20"/>
                <w:szCs w:val="20"/>
              </w:rPr>
              <w:lastRenderedPageBreak/>
              <w:t>出入库作业、在库管理、个体防护、安全管理、人员与培训不符合要求。</w:t>
            </w:r>
          </w:p>
        </w:tc>
        <w:tc>
          <w:tcPr>
            <w:tcW w:w="3889" w:type="dxa"/>
            <w:tcBorders>
              <w:tl2br w:val="nil"/>
              <w:tr2bl w:val="nil"/>
            </w:tcBorders>
            <w:vAlign w:val="center"/>
          </w:tcPr>
          <w:p w14:paraId="3491DE34"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危险化学品经营企业危险化学品仓库的储</w:t>
            </w:r>
            <w:r w:rsidRPr="00EF4836">
              <w:rPr>
                <w:rFonts w:ascii="仿宋_GB2312" w:eastAsia="仿宋_GB2312" w:hAnsi="仿宋_GB2312" w:cs="仿宋_GB2312" w:hint="eastAsia"/>
                <w:color w:val="000000"/>
                <w:sz w:val="20"/>
                <w:szCs w:val="20"/>
              </w:rPr>
              <w:lastRenderedPageBreak/>
              <w:t>存、装卸搬运与堆码、出入库作业、在库管理、个体防护、安全管理、人员与培训应符合GB 15603的有关规定。</w:t>
            </w:r>
          </w:p>
        </w:tc>
        <w:tc>
          <w:tcPr>
            <w:tcW w:w="3868" w:type="dxa"/>
            <w:tcBorders>
              <w:tl2br w:val="nil"/>
              <w:tr2bl w:val="nil"/>
            </w:tcBorders>
            <w:vAlign w:val="center"/>
          </w:tcPr>
          <w:p w14:paraId="5B06487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lastRenderedPageBreak/>
              <w:t>《危险化学品储存场所建设及储存安全要</w:t>
            </w:r>
            <w:r w:rsidRPr="00EF4836">
              <w:rPr>
                <w:rFonts w:ascii="仿宋_GB2312" w:eastAsia="仿宋_GB2312" w:hAnsi="仿宋_GB2312" w:cs="仿宋_GB2312" w:hint="eastAsia"/>
                <w:color w:val="000000"/>
                <w:sz w:val="20"/>
                <w:szCs w:val="20"/>
              </w:rPr>
              <w:lastRenderedPageBreak/>
              <w:t>求》（DB11/T 755）第5.2.4条</w:t>
            </w:r>
          </w:p>
        </w:tc>
        <w:tc>
          <w:tcPr>
            <w:tcW w:w="376" w:type="dxa"/>
            <w:tcBorders>
              <w:tl2br w:val="nil"/>
              <w:tr2bl w:val="nil"/>
            </w:tcBorders>
          </w:tcPr>
          <w:p w14:paraId="1B177D7D"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rPr>
            </w:pPr>
          </w:p>
        </w:tc>
      </w:tr>
      <w:tr w:rsidR="00EF4836" w:rsidRPr="00EF4836" w14:paraId="7A8F03B3" w14:textId="77777777" w:rsidTr="008351BE">
        <w:trPr>
          <w:trHeight w:val="347"/>
          <w:jc w:val="center"/>
        </w:trPr>
        <w:tc>
          <w:tcPr>
            <w:tcW w:w="971" w:type="dxa"/>
            <w:tcBorders>
              <w:tl2br w:val="nil"/>
              <w:tr2bl w:val="nil"/>
            </w:tcBorders>
            <w:vAlign w:val="center"/>
          </w:tcPr>
          <w:p w14:paraId="00DE632C"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15.3.02.159</w:t>
            </w:r>
          </w:p>
        </w:tc>
        <w:tc>
          <w:tcPr>
            <w:tcW w:w="1064" w:type="dxa"/>
            <w:tcBorders>
              <w:tl2br w:val="nil"/>
              <w:tr2bl w:val="nil"/>
            </w:tcBorders>
            <w:vAlign w:val="center"/>
          </w:tcPr>
          <w:p w14:paraId="6E8F5171"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人员类</w:t>
            </w:r>
          </w:p>
        </w:tc>
        <w:tc>
          <w:tcPr>
            <w:tcW w:w="1089" w:type="dxa"/>
            <w:tcBorders>
              <w:tl2br w:val="nil"/>
              <w:tr2bl w:val="nil"/>
            </w:tcBorders>
            <w:vAlign w:val="center"/>
          </w:tcPr>
          <w:p w14:paraId="0B3460AE"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操作行为类</w:t>
            </w:r>
          </w:p>
        </w:tc>
        <w:tc>
          <w:tcPr>
            <w:tcW w:w="2861" w:type="dxa"/>
            <w:tcBorders>
              <w:tl2br w:val="nil"/>
              <w:tr2bl w:val="nil"/>
            </w:tcBorders>
            <w:vAlign w:val="center"/>
          </w:tcPr>
          <w:p w14:paraId="736D9F3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气瓶仓库的作业人员、劳动保护、气瓶搬运及装卸、气瓶储存不符合要求。</w:t>
            </w:r>
          </w:p>
        </w:tc>
        <w:tc>
          <w:tcPr>
            <w:tcW w:w="3889" w:type="dxa"/>
            <w:tcBorders>
              <w:tl2br w:val="nil"/>
              <w:tr2bl w:val="nil"/>
            </w:tcBorders>
            <w:vAlign w:val="center"/>
          </w:tcPr>
          <w:p w14:paraId="4F810C8B"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气瓶仓库的作业人员、劳动保护、气瓶搬运及装卸、气瓶储存应符合GB/T 34525的要求。</w:t>
            </w:r>
          </w:p>
        </w:tc>
        <w:tc>
          <w:tcPr>
            <w:tcW w:w="3868" w:type="dxa"/>
            <w:tcBorders>
              <w:tl2br w:val="nil"/>
              <w:tr2bl w:val="nil"/>
            </w:tcBorders>
            <w:vAlign w:val="center"/>
          </w:tcPr>
          <w:p w14:paraId="24CB002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《气瓶搬运、装卸、储存和使用安全规定》（GB/T 34525-2017）;</w:t>
            </w:r>
          </w:p>
          <w:p w14:paraId="1AD1688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《危险化学品储存场所建设及储存安全要求》（DB11/T 755）第5.2.7条</w:t>
            </w:r>
          </w:p>
        </w:tc>
        <w:tc>
          <w:tcPr>
            <w:tcW w:w="376" w:type="dxa"/>
            <w:tcBorders>
              <w:tl2br w:val="nil"/>
              <w:tr2bl w:val="nil"/>
            </w:tcBorders>
          </w:tcPr>
          <w:p w14:paraId="6EA2E744"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rPr>
            </w:pPr>
          </w:p>
        </w:tc>
      </w:tr>
      <w:tr w:rsidR="00EF4836" w:rsidRPr="00EF4836" w14:paraId="6F0C236B" w14:textId="77777777" w:rsidTr="008351BE">
        <w:trPr>
          <w:trHeight w:val="455"/>
          <w:jc w:val="center"/>
        </w:trPr>
        <w:tc>
          <w:tcPr>
            <w:tcW w:w="14118" w:type="dxa"/>
            <w:gridSpan w:val="7"/>
            <w:tcBorders>
              <w:tl2br w:val="nil"/>
              <w:tr2bl w:val="nil"/>
            </w:tcBorders>
            <w:shd w:val="clear" w:color="auto" w:fill="95B3D7"/>
            <w:vAlign w:val="center"/>
          </w:tcPr>
          <w:p w14:paraId="5B8DEEB9"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b/>
                <w:color w:val="000000"/>
                <w:kern w:val="0"/>
                <w:sz w:val="20"/>
                <w:szCs w:val="20"/>
              </w:rPr>
            </w:pPr>
            <w:r w:rsidRPr="00EF4836">
              <w:rPr>
                <w:rFonts w:ascii="仿宋_GB2312" w:eastAsia="仿宋_GB2312" w:hAnsi="仿宋_GB2312" w:cs="仿宋_GB2312" w:hint="eastAsia"/>
                <w:b/>
                <w:color w:val="000000"/>
                <w:kern w:val="0"/>
                <w:sz w:val="20"/>
                <w:szCs w:val="20"/>
                <w:lang w:bidi="ar"/>
              </w:rPr>
              <w:t>危险化学品储罐（区）</w:t>
            </w:r>
          </w:p>
        </w:tc>
      </w:tr>
      <w:tr w:rsidR="00EF4836" w:rsidRPr="00EF4836" w14:paraId="1DE2A600" w14:textId="77777777" w:rsidTr="008351BE">
        <w:trPr>
          <w:trHeight w:val="347"/>
          <w:jc w:val="center"/>
        </w:trPr>
        <w:tc>
          <w:tcPr>
            <w:tcW w:w="971" w:type="dxa"/>
            <w:tcBorders>
              <w:tl2br w:val="nil"/>
              <w:tr2bl w:val="nil"/>
            </w:tcBorders>
            <w:vAlign w:val="center"/>
          </w:tcPr>
          <w:p w14:paraId="3FB7B582"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15.2.03.160</w:t>
            </w:r>
          </w:p>
        </w:tc>
        <w:tc>
          <w:tcPr>
            <w:tcW w:w="1064" w:type="dxa"/>
            <w:tcBorders>
              <w:tl2br w:val="nil"/>
              <w:tr2bl w:val="nil"/>
            </w:tcBorders>
            <w:vAlign w:val="center"/>
          </w:tcPr>
          <w:p w14:paraId="05BB1CF6"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设备设施及物料类</w:t>
            </w:r>
          </w:p>
        </w:tc>
        <w:tc>
          <w:tcPr>
            <w:tcW w:w="1089" w:type="dxa"/>
            <w:tcBorders>
              <w:tl2br w:val="nil"/>
              <w:tr2bl w:val="nil"/>
            </w:tcBorders>
            <w:vAlign w:val="center"/>
          </w:tcPr>
          <w:p w14:paraId="7652CFF2"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辅助系统设备设施类</w:t>
            </w:r>
          </w:p>
        </w:tc>
        <w:tc>
          <w:tcPr>
            <w:tcW w:w="2861" w:type="dxa"/>
            <w:tcBorders>
              <w:tl2br w:val="nil"/>
              <w:tr2bl w:val="nil"/>
            </w:tcBorders>
            <w:vAlign w:val="center"/>
          </w:tcPr>
          <w:p w14:paraId="62007B2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储罐储存危险化学品时，其储存的要求不符合GB 50016、DB11/T 833等标准的要求。液氧站的储存要求不符合GB 50030要求。氢气的储存要求不符合GB 4962和GB 50177的要求。</w:t>
            </w:r>
          </w:p>
        </w:tc>
        <w:tc>
          <w:tcPr>
            <w:tcW w:w="3889" w:type="dxa"/>
            <w:tcBorders>
              <w:tl2br w:val="nil"/>
              <w:tr2bl w:val="nil"/>
            </w:tcBorders>
            <w:vAlign w:val="center"/>
          </w:tcPr>
          <w:p w14:paraId="4781C4A9"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储罐储存危险化学品时，其储存的要求尚应符合GB 50016、DB11/T 833等标准的要求。液氧站的储存要求应符合GB 50030要求。氢气的储存要求尚应符合GB 4962和GB 50177的要求。</w:t>
            </w:r>
          </w:p>
        </w:tc>
        <w:tc>
          <w:tcPr>
            <w:tcW w:w="3868" w:type="dxa"/>
            <w:tcBorders>
              <w:tl2br w:val="nil"/>
              <w:tr2bl w:val="nil"/>
            </w:tcBorders>
            <w:vAlign w:val="center"/>
          </w:tcPr>
          <w:p w14:paraId="58626F6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1191.3-2024）第6.8.1、6.8.2条；</w:t>
            </w:r>
          </w:p>
          <w:p w14:paraId="5358540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《建筑设计防火规范（2018年版）》（GB 50016-2014）;</w:t>
            </w:r>
          </w:p>
          <w:p w14:paraId="7E9C5E51"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《危险化学品地上储罐区安全要求》（DB11/T 833-2019）;</w:t>
            </w:r>
          </w:p>
          <w:p w14:paraId="4FDB3818"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《氧气站设计规范》（GB 50030-2013）;</w:t>
            </w:r>
          </w:p>
          <w:p w14:paraId="2803D580"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《氢气使用安全技术规程》（GB 4962-2008）;</w:t>
            </w:r>
          </w:p>
          <w:p w14:paraId="36224EBE"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《氢气站设计规范》（GB 50177-2005）；</w:t>
            </w:r>
          </w:p>
        </w:tc>
        <w:tc>
          <w:tcPr>
            <w:tcW w:w="376" w:type="dxa"/>
            <w:tcBorders>
              <w:tl2br w:val="nil"/>
              <w:tr2bl w:val="nil"/>
            </w:tcBorders>
          </w:tcPr>
          <w:p w14:paraId="5D338E30"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rPr>
            </w:pPr>
          </w:p>
        </w:tc>
      </w:tr>
      <w:tr w:rsidR="00EF4836" w:rsidRPr="00EF4836" w14:paraId="64D9CDB3" w14:textId="77777777" w:rsidTr="008351BE">
        <w:trPr>
          <w:trHeight w:val="347"/>
          <w:jc w:val="center"/>
        </w:trPr>
        <w:tc>
          <w:tcPr>
            <w:tcW w:w="971" w:type="dxa"/>
            <w:tcBorders>
              <w:tl2br w:val="nil"/>
              <w:tr2bl w:val="nil"/>
            </w:tcBorders>
            <w:vAlign w:val="center"/>
          </w:tcPr>
          <w:p w14:paraId="1B070A52"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15.3.02.161</w:t>
            </w:r>
          </w:p>
        </w:tc>
        <w:tc>
          <w:tcPr>
            <w:tcW w:w="1064" w:type="dxa"/>
            <w:tcBorders>
              <w:tl2br w:val="nil"/>
              <w:tr2bl w:val="nil"/>
            </w:tcBorders>
            <w:vAlign w:val="center"/>
          </w:tcPr>
          <w:p w14:paraId="7823A7BB"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人员类</w:t>
            </w:r>
          </w:p>
        </w:tc>
        <w:tc>
          <w:tcPr>
            <w:tcW w:w="1089" w:type="dxa"/>
            <w:tcBorders>
              <w:tl2br w:val="nil"/>
              <w:tr2bl w:val="nil"/>
            </w:tcBorders>
            <w:vAlign w:val="center"/>
          </w:tcPr>
          <w:p w14:paraId="0AE696C4" w14:textId="77777777" w:rsidR="00EF4836" w:rsidRPr="00EF4836" w:rsidRDefault="00EF4836" w:rsidP="008351BE">
            <w:pPr>
              <w:autoSpaceDE w:val="0"/>
              <w:autoSpaceDN w:val="0"/>
              <w:adjustRightInd w:val="0"/>
              <w:snapToGrid w:val="0"/>
              <w:jc w:val="center"/>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操作行为类</w:t>
            </w:r>
          </w:p>
        </w:tc>
        <w:tc>
          <w:tcPr>
            <w:tcW w:w="2861" w:type="dxa"/>
            <w:tcBorders>
              <w:tl2br w:val="nil"/>
              <w:tr2bl w:val="nil"/>
            </w:tcBorders>
            <w:vAlign w:val="center"/>
          </w:tcPr>
          <w:p w14:paraId="4B328AFC"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固定式氢气储罐、氢气管道等设备，不满足GB 4962、GB 50516 的规定，未定期开展点检和维护保养并留存记录。</w:t>
            </w:r>
          </w:p>
        </w:tc>
        <w:tc>
          <w:tcPr>
            <w:tcW w:w="3889" w:type="dxa"/>
            <w:tcBorders>
              <w:tl2br w:val="nil"/>
              <w:tr2bl w:val="nil"/>
            </w:tcBorders>
            <w:vAlign w:val="center"/>
          </w:tcPr>
          <w:p w14:paraId="6D0ABEB6"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固定式氢气储罐、氢气管道等设备，除满足GB 4962、GB 50516 的规定外，还需定期开展点检和维护保养并留存记录。</w:t>
            </w:r>
          </w:p>
        </w:tc>
        <w:tc>
          <w:tcPr>
            <w:tcW w:w="3868" w:type="dxa"/>
            <w:tcBorders>
              <w:tl2br w:val="nil"/>
              <w:tr2bl w:val="nil"/>
            </w:tcBorders>
            <w:vAlign w:val="center"/>
          </w:tcPr>
          <w:p w14:paraId="50432BCD"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《实验室危险化学品安全管理要求 第3部分：科研单位》（DB11/T 1191.3-2024）第7.3.10条；</w:t>
            </w:r>
          </w:p>
          <w:p w14:paraId="3BF42FAA"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《氢气使用安全技术规程》（GB 4962-2008）；</w:t>
            </w:r>
          </w:p>
          <w:p w14:paraId="21D55E95" w14:textId="77777777" w:rsidR="00EF4836" w:rsidRPr="00EF4836" w:rsidRDefault="00EF4836" w:rsidP="008351BE">
            <w:pPr>
              <w:autoSpaceDE w:val="0"/>
              <w:autoSpaceDN w:val="0"/>
              <w:adjustRightInd w:val="0"/>
              <w:snapToGrid w:val="0"/>
              <w:rPr>
                <w:rFonts w:ascii="仿宋_GB2312" w:eastAsia="仿宋_GB2312" w:hAnsi="仿宋_GB2312" w:cs="仿宋_GB2312" w:hint="eastAsia"/>
                <w:color w:val="000000"/>
                <w:sz w:val="20"/>
                <w:szCs w:val="20"/>
              </w:rPr>
            </w:pPr>
            <w:r w:rsidRPr="00EF4836">
              <w:rPr>
                <w:rFonts w:ascii="仿宋_GB2312" w:eastAsia="仿宋_GB2312" w:hAnsi="仿宋_GB2312" w:cs="仿宋_GB2312" w:hint="eastAsia"/>
                <w:color w:val="000000"/>
                <w:sz w:val="20"/>
                <w:szCs w:val="20"/>
              </w:rPr>
              <w:t>《加氢站技术规范（2021年版）》（GB 50516-2010）</w:t>
            </w:r>
          </w:p>
        </w:tc>
        <w:tc>
          <w:tcPr>
            <w:tcW w:w="376" w:type="dxa"/>
            <w:tcBorders>
              <w:tl2br w:val="nil"/>
              <w:tr2bl w:val="nil"/>
            </w:tcBorders>
          </w:tcPr>
          <w:p w14:paraId="119A3B18" w14:textId="77777777" w:rsidR="00EF4836" w:rsidRPr="00EF4836" w:rsidRDefault="00EF4836" w:rsidP="008351BE">
            <w:pPr>
              <w:widowControl/>
              <w:adjustRightInd w:val="0"/>
              <w:snapToGrid w:val="0"/>
              <w:jc w:val="center"/>
              <w:rPr>
                <w:rFonts w:ascii="仿宋_GB2312" w:eastAsia="仿宋_GB2312" w:hAnsi="仿宋_GB2312" w:cs="仿宋_GB2312" w:hint="eastAsia"/>
                <w:b/>
                <w:color w:val="000000"/>
                <w:kern w:val="0"/>
                <w:sz w:val="20"/>
                <w:szCs w:val="20"/>
              </w:rPr>
            </w:pPr>
          </w:p>
        </w:tc>
      </w:tr>
      <w:tr w:rsidR="00EF4836" w:rsidRPr="00EF4836" w14:paraId="398455A9" w14:textId="77777777" w:rsidTr="008351BE">
        <w:trPr>
          <w:trHeight w:val="381"/>
          <w:jc w:val="center"/>
        </w:trPr>
        <w:tc>
          <w:tcPr>
            <w:tcW w:w="14118" w:type="dxa"/>
            <w:gridSpan w:val="7"/>
            <w:tcBorders>
              <w:tl2br w:val="nil"/>
              <w:tr2bl w:val="nil"/>
            </w:tcBorders>
          </w:tcPr>
          <w:p w14:paraId="12B53EE5" w14:textId="77777777" w:rsidR="00EF4836" w:rsidRPr="00EF4836" w:rsidRDefault="00EF4836" w:rsidP="008351BE">
            <w:pPr>
              <w:pStyle w:val="ae"/>
              <w:adjustRightInd w:val="0"/>
              <w:snapToGrid w:val="0"/>
              <w:spacing w:beforeLines="0" w:before="0" w:afterLines="0" w:after="0" w:line="240" w:lineRule="auto"/>
              <w:outlineLvl w:val="9"/>
              <w:rPr>
                <w:rFonts w:ascii="仿宋_GB2312" w:eastAsia="仿宋_GB2312" w:hAnsi="仿宋_GB2312" w:cs="仿宋_GB2312" w:hint="eastAsia"/>
                <w:color w:val="000000"/>
                <w:kern w:val="2"/>
                <w:sz w:val="20"/>
                <w:szCs w:val="20"/>
              </w:rPr>
            </w:pPr>
            <w:r w:rsidRPr="00EF4836">
              <w:rPr>
                <w:rFonts w:ascii="仿宋_GB2312" w:eastAsia="仿宋_GB2312" w:hAnsi="仿宋_GB2312" w:cs="仿宋_GB2312" w:hint="eastAsia"/>
                <w:color w:val="000000"/>
                <w:kern w:val="2"/>
                <w:sz w:val="20"/>
                <w:szCs w:val="20"/>
              </w:rPr>
              <w:lastRenderedPageBreak/>
              <w:t>注：★1：《化工和危险化学品企业重大生产安全事故隐患判定准则（征求意见稿）》（化工和医药制造企业）；</w:t>
            </w:r>
          </w:p>
          <w:p w14:paraId="4E3A9C20" w14:textId="77777777" w:rsidR="00EF4836" w:rsidRPr="00EF4836" w:rsidRDefault="00EF4836" w:rsidP="008351BE">
            <w:pPr>
              <w:pStyle w:val="ae"/>
              <w:adjustRightInd w:val="0"/>
              <w:snapToGrid w:val="0"/>
              <w:spacing w:beforeLines="0" w:before="0" w:afterLines="0" w:after="0" w:line="240" w:lineRule="auto"/>
              <w:ind w:firstLineChars="200" w:firstLine="400"/>
              <w:outlineLvl w:val="9"/>
              <w:rPr>
                <w:rFonts w:ascii="仿宋_GB2312" w:eastAsia="仿宋_GB2312" w:hAnsi="黑体" w:hint="eastAsia"/>
                <w:sz w:val="20"/>
                <w:szCs w:val="20"/>
              </w:rPr>
            </w:pPr>
            <w:r w:rsidRPr="00EF4836">
              <w:rPr>
                <w:rFonts w:ascii="仿宋_GB2312" w:eastAsia="仿宋_GB2312" w:hAnsi="仿宋_GB2312" w:cs="仿宋_GB2312" w:hint="eastAsia"/>
                <w:color w:val="000000"/>
                <w:kern w:val="2"/>
                <w:sz w:val="20"/>
                <w:szCs w:val="20"/>
              </w:rPr>
              <w:t>★2：《教育系统重大事故隐患判定指南》。</w:t>
            </w:r>
          </w:p>
        </w:tc>
      </w:tr>
    </w:tbl>
    <w:p w14:paraId="24D70CA9" w14:textId="77777777" w:rsidR="00EF4836" w:rsidRDefault="00EF4836" w:rsidP="00EF4836">
      <w:pPr>
        <w:rPr>
          <w:b/>
          <w:bCs/>
        </w:rPr>
      </w:pPr>
    </w:p>
    <w:sectPr w:rsidR="00EF4836" w:rsidSect="00EF4836">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Liberation Sans">
    <w:altName w:val="Segoe Print"/>
    <w:charset w:val="00"/>
    <w:family w:val="swiss"/>
    <w:pitch w:val="default"/>
    <w:sig w:usb0="E0000AFF" w:usb1="500078FF" w:usb2="00000021" w:usb3="00000000" w:csb0="600001BF" w:csb1="DFF70000"/>
  </w:font>
  <w:font w:name="Noto Sans CJK SC Regular">
    <w:altName w:val="Microsoft YaHei UI Light"/>
    <w:charset w:val="00"/>
    <w:family w:val="auto"/>
    <w:pitch w:val="default"/>
    <w:sig w:usb0="30000003" w:usb1="2BDF3C10" w:usb2="00000016" w:usb3="00000000" w:csb0="602E0107" w:csb1="00000000"/>
  </w:font>
  <w:font w:name="黑体">
    <w:altName w:val="SimHei"/>
    <w:panose1 w:val="02010609060101010101"/>
    <w:charset w:val="86"/>
    <w:family w:val="modern"/>
    <w:pitch w:val="fixed"/>
    <w:sig w:usb0="800002BF" w:usb1="38CF7CFA" w:usb2="00000016" w:usb3="00000000" w:csb0="00040001" w:csb1="00000000"/>
  </w:font>
  <w:font w:name="小标宋">
    <w:panose1 w:val="03000509000000000000"/>
    <w:charset w:val="86"/>
    <w:family w:val="script"/>
    <w:pitch w:val="fixed"/>
    <w:sig w:usb0="00000001" w:usb1="080E0000" w:usb2="00000010" w:usb3="00000000" w:csb0="00040000" w:csb1="00000000"/>
  </w:font>
  <w:font w:name="方正小标宋简体">
    <w:altName w:val="微软雅黑"/>
    <w:charset w:val="86"/>
    <w:family w:val="auto"/>
    <w:pitch w:val="default"/>
    <w:sig w:usb0="A00002BF" w:usb1="184F6CFA" w:usb2="00000012"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5FE147E"/>
    <w:multiLevelType w:val="singleLevel"/>
    <w:tmpl w:val="B5FE147E"/>
    <w:lvl w:ilvl="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836"/>
    <w:rsid w:val="00481710"/>
    <w:rsid w:val="00526DF8"/>
    <w:rsid w:val="0055229A"/>
    <w:rsid w:val="0066090B"/>
    <w:rsid w:val="00781063"/>
    <w:rsid w:val="00B46441"/>
    <w:rsid w:val="00E639D4"/>
    <w:rsid w:val="00EF4836"/>
    <w:rsid w:val="00F346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95EF7"/>
  <w15:chartTrackingRefBased/>
  <w15:docId w15:val="{6AE40DFB-31CA-4031-B422-DB7CDC51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EF4836"/>
    <w:pPr>
      <w:widowControl w:val="0"/>
      <w:suppressAutoHyphens/>
      <w:jc w:val="both"/>
    </w:pPr>
    <w:rPr>
      <w:rFonts w:ascii="Calibri" w:eastAsia="宋体" w:hAnsi="Calibri"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EF4836"/>
    <w:pPr>
      <w:spacing w:after="140" w:line="276" w:lineRule="auto"/>
    </w:pPr>
  </w:style>
  <w:style w:type="character" w:customStyle="1" w:styleId="a4">
    <w:name w:val="正文文本 字符"/>
    <w:basedOn w:val="a1"/>
    <w:link w:val="a0"/>
    <w:rsid w:val="00EF4836"/>
    <w:rPr>
      <w:rFonts w:ascii="Calibri" w:eastAsia="宋体" w:hAnsi="Calibri" w:cs="Times New Roman"/>
      <w:szCs w:val="24"/>
    </w:rPr>
  </w:style>
  <w:style w:type="paragraph" w:styleId="a5">
    <w:name w:val="Normal Indent"/>
    <w:basedOn w:val="a"/>
    <w:next w:val="a6"/>
    <w:qFormat/>
    <w:rsid w:val="00EF4836"/>
    <w:pPr>
      <w:ind w:firstLine="420"/>
    </w:pPr>
  </w:style>
  <w:style w:type="paragraph" w:styleId="a6">
    <w:name w:val="Body Text Indent"/>
    <w:basedOn w:val="a"/>
    <w:next w:val="a5"/>
    <w:link w:val="a7"/>
    <w:qFormat/>
    <w:rsid w:val="00EF4836"/>
    <w:pPr>
      <w:spacing w:after="120"/>
      <w:ind w:leftChars="200" w:left="420"/>
    </w:pPr>
  </w:style>
  <w:style w:type="character" w:customStyle="1" w:styleId="a7">
    <w:name w:val="正文文本缩进 字符"/>
    <w:basedOn w:val="a1"/>
    <w:link w:val="a6"/>
    <w:rsid w:val="00EF4836"/>
    <w:rPr>
      <w:rFonts w:ascii="Calibri" w:eastAsia="宋体" w:hAnsi="Calibri" w:cs="Times New Roman"/>
      <w:szCs w:val="24"/>
    </w:rPr>
  </w:style>
  <w:style w:type="paragraph" w:styleId="a8">
    <w:name w:val="caption"/>
    <w:basedOn w:val="a"/>
    <w:qFormat/>
    <w:rsid w:val="00EF4836"/>
    <w:pPr>
      <w:suppressLineNumbers/>
      <w:spacing w:before="120" w:after="120"/>
    </w:pPr>
    <w:rPr>
      <w:i/>
      <w:iCs/>
      <w:sz w:val="24"/>
    </w:rPr>
  </w:style>
  <w:style w:type="paragraph" w:styleId="a9">
    <w:name w:val="footer"/>
    <w:basedOn w:val="a"/>
    <w:link w:val="aa"/>
    <w:uiPriority w:val="99"/>
    <w:qFormat/>
    <w:rsid w:val="00EF4836"/>
    <w:pPr>
      <w:tabs>
        <w:tab w:val="center" w:pos="4153"/>
        <w:tab w:val="right" w:pos="8306"/>
      </w:tabs>
      <w:snapToGrid w:val="0"/>
      <w:jc w:val="left"/>
    </w:pPr>
    <w:rPr>
      <w:sz w:val="18"/>
      <w:szCs w:val="18"/>
    </w:rPr>
  </w:style>
  <w:style w:type="character" w:customStyle="1" w:styleId="aa">
    <w:name w:val="页脚 字符"/>
    <w:basedOn w:val="a1"/>
    <w:link w:val="a9"/>
    <w:uiPriority w:val="99"/>
    <w:rsid w:val="00EF4836"/>
    <w:rPr>
      <w:rFonts w:ascii="Calibri" w:eastAsia="宋体" w:hAnsi="Calibri" w:cs="Times New Roman"/>
      <w:sz w:val="18"/>
      <w:szCs w:val="18"/>
    </w:rPr>
  </w:style>
  <w:style w:type="paragraph" w:styleId="ab">
    <w:name w:val="header"/>
    <w:basedOn w:val="a"/>
    <w:link w:val="ac"/>
    <w:rsid w:val="00EF483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ac">
    <w:name w:val="页眉 字符"/>
    <w:basedOn w:val="a1"/>
    <w:link w:val="ab"/>
    <w:rsid w:val="00EF4836"/>
    <w:rPr>
      <w:rFonts w:ascii="Calibri" w:eastAsia="宋体" w:hAnsi="Calibri" w:cs="Times New Roman"/>
      <w:sz w:val="18"/>
      <w:szCs w:val="24"/>
    </w:rPr>
  </w:style>
  <w:style w:type="paragraph" w:styleId="ad">
    <w:name w:val="List"/>
    <w:basedOn w:val="a0"/>
    <w:rsid w:val="00EF4836"/>
  </w:style>
  <w:style w:type="paragraph" w:styleId="HTML">
    <w:name w:val="HTML Preformatted"/>
    <w:basedOn w:val="a"/>
    <w:link w:val="HTML0"/>
    <w:rsid w:val="00EF48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character" w:customStyle="1" w:styleId="HTML0">
    <w:name w:val="HTML 预设格式 字符"/>
    <w:basedOn w:val="a1"/>
    <w:link w:val="HTML"/>
    <w:rsid w:val="00EF4836"/>
    <w:rPr>
      <w:rFonts w:ascii="宋体" w:eastAsia="宋体" w:hAnsi="宋体" w:cs="Times New Roman"/>
      <w:kern w:val="0"/>
      <w:sz w:val="24"/>
      <w:szCs w:val="24"/>
    </w:rPr>
  </w:style>
  <w:style w:type="paragraph" w:styleId="2">
    <w:name w:val="Body Text First Indent 2"/>
    <w:basedOn w:val="a6"/>
    <w:link w:val="20"/>
    <w:qFormat/>
    <w:rsid w:val="00EF4836"/>
    <w:pPr>
      <w:spacing w:after="0"/>
      <w:ind w:firstLineChars="200" w:firstLine="420"/>
    </w:pPr>
  </w:style>
  <w:style w:type="character" w:customStyle="1" w:styleId="20">
    <w:name w:val="正文文本首行缩进 2 字符"/>
    <w:basedOn w:val="a7"/>
    <w:link w:val="2"/>
    <w:rsid w:val="00EF4836"/>
    <w:rPr>
      <w:rFonts w:ascii="Calibri" w:eastAsia="宋体" w:hAnsi="Calibri" w:cs="Times New Roman"/>
      <w:szCs w:val="24"/>
    </w:rPr>
  </w:style>
  <w:style w:type="character" w:customStyle="1" w:styleId="1">
    <w:name w:val="默认段落字体1"/>
    <w:rsid w:val="00EF4836"/>
  </w:style>
  <w:style w:type="paragraph" w:customStyle="1" w:styleId="Heading">
    <w:name w:val="Heading"/>
    <w:basedOn w:val="a"/>
    <w:next w:val="a0"/>
    <w:rsid w:val="00EF4836"/>
    <w:pPr>
      <w:keepNext/>
      <w:spacing w:before="240" w:after="120"/>
    </w:pPr>
    <w:rPr>
      <w:rFonts w:ascii="Liberation Sans" w:eastAsia="Noto Sans CJK SC Regular" w:hAnsi="Liberation Sans" w:cs="Noto Sans CJK SC Regular"/>
      <w:sz w:val="28"/>
      <w:szCs w:val="28"/>
    </w:rPr>
  </w:style>
  <w:style w:type="paragraph" w:customStyle="1" w:styleId="Index">
    <w:name w:val="Index"/>
    <w:basedOn w:val="a"/>
    <w:rsid w:val="00EF4836"/>
    <w:pPr>
      <w:suppressLineNumbers/>
    </w:pPr>
  </w:style>
  <w:style w:type="paragraph" w:customStyle="1" w:styleId="ae">
    <w:name w:val="一级条标题"/>
    <w:next w:val="a"/>
    <w:qFormat/>
    <w:rsid w:val="00EF4836"/>
    <w:pPr>
      <w:spacing w:beforeLines="50" w:before="156" w:afterLines="50" w:after="156" w:line="278" w:lineRule="auto"/>
      <w:outlineLvl w:val="2"/>
    </w:pPr>
    <w:rPr>
      <w:rFonts w:ascii="黑体" w:eastAsia="黑体" w:hAnsi="Times New Roman"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00067-5FB9-46E5-BF02-09441E02D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45</Pages>
  <Words>6562</Words>
  <Characters>37404</Characters>
  <Application>Microsoft Office Word</Application>
  <DocSecurity>0</DocSecurity>
  <Lines>311</Lines>
  <Paragraphs>87</Paragraphs>
  <ScaleCrop>false</ScaleCrop>
  <Company/>
  <LinksUpToDate>false</LinksUpToDate>
  <CharactersWithSpaces>43879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Ruoyu Li</dc:creator>
  <cp:keywords/>
  <dc:description/>
  <cp:lastModifiedBy>Ruoyu Li</cp:lastModifiedBy>
  <cp:revision>8</cp:revision>
  <dcterms:created xsi:type="dcterms:W3CDTF">2026-03-31T07:54:00Z</dcterms:created>
  <dcterms:modified xsi:type="dcterms:W3CDTF">2026-03-31T08:02:00Z</dcterms:modified>
</cp:coreProperties>
</file>