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rPr>
          <w:rFonts w:hint="eastAsia" w:ascii="仿宋_GB2312" w:eastAsia="仿宋_GB2312"/>
          <w:szCs w:val="30"/>
          <w:lang w:val="en-US" w:eastAsia="zh-CN"/>
        </w:rPr>
      </w:pPr>
      <w:r>
        <w:rPr>
          <w:rFonts w:hint="eastAsia" w:ascii="仿宋_GB2312" w:eastAsia="仿宋_GB2312"/>
          <w:sz w:val="28"/>
          <w:szCs w:val="30"/>
        </w:rPr>
        <w:t>附</w:t>
      </w:r>
      <w:r>
        <w:rPr>
          <w:rFonts w:hint="eastAsia" w:ascii="仿宋_GB2312" w:eastAsia="仿宋_GB2312"/>
          <w:szCs w:val="30"/>
        </w:rPr>
        <w:t>件</w:t>
      </w:r>
      <w:r>
        <w:rPr>
          <w:rFonts w:hint="eastAsia" w:ascii="仿宋_GB2312" w:eastAsia="仿宋_GB2312"/>
          <w:szCs w:val="30"/>
          <w:lang w:val="en-US" w:eastAsia="zh-CN"/>
        </w:rPr>
        <w:t>1</w:t>
      </w:r>
    </w:p>
    <w:p>
      <w:pPr>
        <w:snapToGrid w:val="0"/>
        <w:spacing w:after="156" w:afterLines="50"/>
        <w:jc w:val="center"/>
        <w:rPr>
          <w:rFonts w:hint="eastAsia" w:eastAsia="黑体"/>
          <w:b/>
          <w:sz w:val="32"/>
          <w:szCs w:val="32"/>
          <w:lang w:eastAsia="zh-CN"/>
        </w:rPr>
      </w:pPr>
      <w:r>
        <w:rPr>
          <w:rFonts w:hint="eastAsia" w:eastAsia="黑体"/>
          <w:b/>
          <w:sz w:val="32"/>
          <w:szCs w:val="32"/>
        </w:rPr>
        <w:t>国家林草局</w:t>
      </w:r>
      <w:r>
        <w:rPr>
          <w:rFonts w:eastAsia="黑体"/>
          <w:b/>
          <w:sz w:val="32"/>
          <w:szCs w:val="32"/>
        </w:rPr>
        <w:t>生态站</w:t>
      </w:r>
      <w:r>
        <w:rPr>
          <w:rFonts w:hint="eastAsia" w:eastAsia="黑体"/>
          <w:b/>
          <w:sz w:val="32"/>
          <w:szCs w:val="32"/>
        </w:rPr>
        <w:t>年度考核评估</w:t>
      </w:r>
      <w:r>
        <w:rPr>
          <w:rFonts w:eastAsia="黑体"/>
          <w:b/>
          <w:sz w:val="32"/>
          <w:szCs w:val="32"/>
        </w:rPr>
        <w:t>指标</w:t>
      </w:r>
      <w:r>
        <w:rPr>
          <w:rFonts w:hint="eastAsia" w:eastAsia="黑体"/>
          <w:b/>
          <w:sz w:val="32"/>
          <w:szCs w:val="32"/>
          <w:lang w:eastAsia="zh-CN"/>
        </w:rPr>
        <w:t>（试行）</w:t>
      </w:r>
    </w:p>
    <w:tbl>
      <w:tblPr>
        <w:tblStyle w:val="4"/>
        <w:tblW w:w="1396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1"/>
        <w:gridCol w:w="2310"/>
        <w:gridCol w:w="102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tblHeader/>
          <w:jc w:val="center"/>
        </w:trPr>
        <w:tc>
          <w:tcPr>
            <w:tcW w:w="1451" w:type="dxa"/>
            <w:vAlign w:val="center"/>
          </w:tcPr>
          <w:p>
            <w:pPr>
              <w:snapToGrid w:val="0"/>
              <w:jc w:val="center"/>
              <w:rPr>
                <w:rFonts w:ascii="黑体" w:hAnsi="黑体" w:eastAsia="黑体" w:cs="黑体"/>
                <w:b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/>
                <w:sz w:val="24"/>
                <w:szCs w:val="24"/>
              </w:rPr>
              <w:t>分类</w:t>
            </w:r>
          </w:p>
        </w:tc>
        <w:tc>
          <w:tcPr>
            <w:tcW w:w="2310" w:type="dxa"/>
            <w:vAlign w:val="center"/>
          </w:tcPr>
          <w:p>
            <w:pPr>
              <w:snapToGrid w:val="0"/>
              <w:jc w:val="center"/>
              <w:rPr>
                <w:rFonts w:ascii="黑体" w:hAnsi="黑体" w:eastAsia="黑体" w:cs="黑体"/>
                <w:b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/>
                <w:sz w:val="24"/>
                <w:szCs w:val="24"/>
              </w:rPr>
              <w:t>指标（分值）</w:t>
            </w:r>
          </w:p>
        </w:tc>
        <w:tc>
          <w:tcPr>
            <w:tcW w:w="10200" w:type="dxa"/>
            <w:vAlign w:val="center"/>
          </w:tcPr>
          <w:p>
            <w:pPr>
              <w:snapToGrid w:val="0"/>
              <w:spacing w:line="440" w:lineRule="exact"/>
              <w:jc w:val="center"/>
              <w:rPr>
                <w:rFonts w:ascii="黑体" w:hAnsi="黑体" w:eastAsia="黑体" w:cs="黑体"/>
                <w:b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/>
                <w:sz w:val="24"/>
                <w:szCs w:val="24"/>
              </w:rPr>
              <w:t>评分标准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451" w:type="dxa"/>
            <w:vMerge w:val="restart"/>
            <w:vAlign w:val="center"/>
          </w:tcPr>
          <w:p>
            <w:pPr>
              <w:snapToGrid w:val="0"/>
              <w:jc w:val="center"/>
              <w:rPr>
                <w:rFonts w:ascii="方正仿宋_GBK" w:hAnsi="方正仿宋_GBK" w:eastAsia="方正仿宋_GBK" w:cs="方正仿宋_GBK"/>
                <w:b/>
                <w:bCs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</w:rPr>
              <w:t>观测数据</w:t>
            </w:r>
          </w:p>
          <w:p>
            <w:pPr>
              <w:snapToGrid w:val="0"/>
              <w:jc w:val="center"/>
              <w:rPr>
                <w:rFonts w:ascii="方正仿宋_GBK" w:hAnsi="方正仿宋_GBK" w:eastAsia="方正仿宋_GBK" w:cs="方正仿宋_GBK"/>
                <w:b/>
                <w:bCs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</w:rPr>
              <w:t>（40分）</w:t>
            </w:r>
          </w:p>
        </w:tc>
        <w:tc>
          <w:tcPr>
            <w:tcW w:w="2310" w:type="dxa"/>
            <w:vAlign w:val="center"/>
          </w:tcPr>
          <w:p>
            <w:pPr>
              <w:snapToGrid w:val="0"/>
              <w:jc w:val="center"/>
              <w:rPr>
                <w:rFonts w:ascii="方正仿宋_GBK" w:hAnsi="方正仿宋_GBK" w:eastAsia="方正仿宋_GBK" w:cs="方正仿宋_GBK"/>
                <w:b/>
                <w:bCs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</w:rPr>
              <w:t>数据汇交（20分）</w:t>
            </w:r>
          </w:p>
        </w:tc>
        <w:tc>
          <w:tcPr>
            <w:tcW w:w="10200" w:type="dxa"/>
          </w:tcPr>
          <w:p>
            <w:pPr>
              <w:snapToGrid w:val="0"/>
              <w:spacing w:line="440" w:lineRule="exact"/>
              <w:rPr>
                <w:rFonts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数据完整，满分20分；数据填报率每降低10%扣5分，扣完为止。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451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方正仿宋_GBK" w:hAnsi="方正仿宋_GBK" w:eastAsia="方正仿宋_GBK" w:cs="方正仿宋_GBK"/>
                <w:b/>
                <w:bCs/>
                <w:sz w:val="24"/>
                <w:szCs w:val="24"/>
              </w:rPr>
            </w:pPr>
          </w:p>
        </w:tc>
        <w:tc>
          <w:tcPr>
            <w:tcW w:w="2310" w:type="dxa"/>
            <w:vAlign w:val="center"/>
          </w:tcPr>
          <w:p>
            <w:pPr>
              <w:snapToGrid w:val="0"/>
              <w:jc w:val="center"/>
              <w:rPr>
                <w:rFonts w:ascii="方正仿宋_GBK" w:hAnsi="方正仿宋_GBK" w:eastAsia="方正仿宋_GBK" w:cs="方正仿宋_GBK"/>
                <w:b/>
                <w:bCs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</w:rPr>
              <w:t>数据质量（20分）</w:t>
            </w:r>
          </w:p>
        </w:tc>
        <w:tc>
          <w:tcPr>
            <w:tcW w:w="10200" w:type="dxa"/>
          </w:tcPr>
          <w:p>
            <w:pPr>
              <w:snapToGrid w:val="0"/>
              <w:spacing w:line="440" w:lineRule="exact"/>
              <w:rPr>
                <w:rFonts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数据质量合格、可靠，满分20分；数据合格率每降低10%扣5分，扣完为止。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451" w:type="dxa"/>
            <w:vMerge w:val="restart"/>
            <w:vAlign w:val="center"/>
          </w:tcPr>
          <w:p>
            <w:pPr>
              <w:snapToGrid w:val="0"/>
              <w:jc w:val="center"/>
              <w:rPr>
                <w:rFonts w:ascii="方正仿宋_GBK" w:hAnsi="方正仿宋_GBK" w:eastAsia="方正仿宋_GBK" w:cs="方正仿宋_GBK"/>
                <w:b/>
                <w:bCs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</w:rPr>
              <w:t>成果应用</w:t>
            </w:r>
          </w:p>
          <w:p>
            <w:pPr>
              <w:snapToGrid w:val="0"/>
              <w:jc w:val="center"/>
              <w:rPr>
                <w:rFonts w:ascii="方正仿宋_GBK" w:hAnsi="方正仿宋_GBK" w:eastAsia="方正仿宋_GBK" w:cs="方正仿宋_GBK"/>
                <w:b/>
                <w:bCs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</w:rPr>
              <w:t>（40分）</w:t>
            </w:r>
          </w:p>
        </w:tc>
        <w:tc>
          <w:tcPr>
            <w:tcW w:w="2310" w:type="dxa"/>
            <w:vAlign w:val="center"/>
          </w:tcPr>
          <w:p>
            <w:pPr>
              <w:snapToGrid w:val="0"/>
              <w:jc w:val="center"/>
              <w:rPr>
                <w:rFonts w:ascii="方正仿宋_GBK" w:hAnsi="方正仿宋_GBK" w:eastAsia="方正仿宋_GBK" w:cs="方正仿宋_GBK"/>
                <w:b/>
                <w:bCs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</w:rPr>
              <w:t>成果产出（30分）</w:t>
            </w:r>
          </w:p>
        </w:tc>
        <w:tc>
          <w:tcPr>
            <w:tcW w:w="10200" w:type="dxa"/>
          </w:tcPr>
          <w:p>
            <w:pPr>
              <w:snapToGrid w:val="0"/>
              <w:spacing w:line="440" w:lineRule="exact"/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发表学术论文、专著、制订标准、获得专利或软件登记，每类1项计3分；获得国家级奖励1项计20分，省部级奖励1项计10分，行业奖励1项计5分；发布白皮书、监测报告、咨询报告等1项计5分。总分不超过30分。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以上成果为生态站固定工作人员依托生态站工作获得。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451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方正仿宋_GBK" w:hAnsi="方正仿宋_GBK" w:eastAsia="方正仿宋_GBK" w:cs="方正仿宋_GBK"/>
                <w:b/>
                <w:bCs/>
                <w:sz w:val="24"/>
                <w:szCs w:val="24"/>
              </w:rPr>
            </w:pPr>
          </w:p>
        </w:tc>
        <w:tc>
          <w:tcPr>
            <w:tcW w:w="2310" w:type="dxa"/>
            <w:vAlign w:val="center"/>
          </w:tcPr>
          <w:p>
            <w:pPr>
              <w:snapToGrid w:val="0"/>
              <w:jc w:val="center"/>
              <w:rPr>
                <w:rFonts w:ascii="方正仿宋_GBK" w:hAnsi="方正仿宋_GBK" w:eastAsia="方正仿宋_GBK" w:cs="方正仿宋_GBK"/>
                <w:b/>
                <w:bCs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</w:rPr>
              <w:t>生产应用（5分）</w:t>
            </w:r>
          </w:p>
        </w:tc>
        <w:tc>
          <w:tcPr>
            <w:tcW w:w="10200" w:type="dxa"/>
          </w:tcPr>
          <w:p>
            <w:pPr>
              <w:snapToGrid w:val="0"/>
              <w:spacing w:line="440" w:lineRule="exact"/>
              <w:rPr>
                <w:rFonts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依托生态站取得的成果应用于生态工程、示范、推广等项目1项，计5分。总分不超过5分。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451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方正仿宋_GBK" w:hAnsi="方正仿宋_GBK" w:eastAsia="方正仿宋_GBK" w:cs="方正仿宋_GBK"/>
                <w:b/>
                <w:bCs/>
                <w:sz w:val="24"/>
                <w:szCs w:val="24"/>
              </w:rPr>
            </w:pPr>
          </w:p>
        </w:tc>
        <w:tc>
          <w:tcPr>
            <w:tcW w:w="2310" w:type="dxa"/>
            <w:vAlign w:val="center"/>
          </w:tcPr>
          <w:p>
            <w:pPr>
              <w:snapToGrid w:val="0"/>
              <w:jc w:val="center"/>
              <w:rPr>
                <w:rFonts w:ascii="方正仿宋_GBK" w:hAnsi="方正仿宋_GBK" w:eastAsia="方正仿宋_GBK" w:cs="方正仿宋_GBK"/>
                <w:b/>
                <w:bCs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</w:rPr>
              <w:t>科普宣传（5分）</w:t>
            </w:r>
          </w:p>
        </w:tc>
        <w:tc>
          <w:tcPr>
            <w:tcW w:w="10200" w:type="dxa"/>
          </w:tcPr>
          <w:p>
            <w:pPr>
              <w:snapToGrid w:val="0"/>
              <w:spacing w:line="440" w:lineRule="exact"/>
              <w:rPr>
                <w:rFonts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依托生态站举办科普宣传活动、编印科普宣传册等，每项活动1次2分，总分不超过5分。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451" w:type="dxa"/>
            <w:vMerge w:val="restart"/>
            <w:vAlign w:val="center"/>
          </w:tcPr>
          <w:p>
            <w:pPr>
              <w:snapToGrid w:val="0"/>
              <w:jc w:val="center"/>
              <w:rPr>
                <w:rFonts w:ascii="方正仿宋_GBK" w:hAnsi="方正仿宋_GBK" w:eastAsia="方正仿宋_GBK" w:cs="方正仿宋_GBK"/>
                <w:b/>
                <w:bCs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</w:rPr>
              <w:t>条件保障</w:t>
            </w:r>
          </w:p>
          <w:p>
            <w:pPr>
              <w:snapToGrid w:val="0"/>
              <w:jc w:val="center"/>
              <w:rPr>
                <w:rFonts w:ascii="方正仿宋_GBK" w:hAnsi="方正仿宋_GBK" w:eastAsia="方正仿宋_GBK" w:cs="方正仿宋_GBK"/>
                <w:b/>
                <w:bCs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</w:rPr>
              <w:t>（20分）</w:t>
            </w:r>
          </w:p>
        </w:tc>
        <w:tc>
          <w:tcPr>
            <w:tcW w:w="2310" w:type="dxa"/>
            <w:vAlign w:val="center"/>
          </w:tcPr>
          <w:p>
            <w:pPr>
              <w:snapToGrid w:val="0"/>
              <w:jc w:val="center"/>
              <w:rPr>
                <w:rFonts w:ascii="方正仿宋_GBK" w:hAnsi="方正仿宋_GBK" w:eastAsia="方正仿宋_GBK" w:cs="方正仿宋_GBK"/>
                <w:b/>
                <w:bCs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</w:rPr>
              <w:t>经费支持（10分）</w:t>
            </w:r>
          </w:p>
        </w:tc>
        <w:tc>
          <w:tcPr>
            <w:tcW w:w="10200" w:type="dxa"/>
          </w:tcPr>
          <w:p>
            <w:pPr>
              <w:snapToGrid w:val="0"/>
              <w:spacing w:line="440" w:lineRule="exact"/>
              <w:rPr>
                <w:rFonts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归口管理单位、依托单位在建设运行方面给予配套支持或者项目支持的，累计10万元及以上满分10分。每减少1万，扣1分。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451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方正仿宋_GBK" w:hAnsi="方正仿宋_GBK" w:eastAsia="方正仿宋_GBK" w:cs="方正仿宋_GBK"/>
                <w:b/>
                <w:bCs/>
                <w:sz w:val="24"/>
                <w:szCs w:val="24"/>
              </w:rPr>
            </w:pPr>
          </w:p>
        </w:tc>
        <w:tc>
          <w:tcPr>
            <w:tcW w:w="2310" w:type="dxa"/>
            <w:vAlign w:val="center"/>
          </w:tcPr>
          <w:p>
            <w:pPr>
              <w:snapToGrid w:val="0"/>
              <w:jc w:val="center"/>
              <w:rPr>
                <w:rFonts w:ascii="方正仿宋_GBK" w:hAnsi="方正仿宋_GBK" w:eastAsia="方正仿宋_GBK" w:cs="方正仿宋_GBK"/>
                <w:b/>
                <w:bCs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</w:rPr>
              <w:t>规范管理（5分）</w:t>
            </w:r>
          </w:p>
        </w:tc>
        <w:tc>
          <w:tcPr>
            <w:tcW w:w="10200" w:type="dxa"/>
          </w:tcPr>
          <w:p>
            <w:pPr>
              <w:snapToGrid w:val="0"/>
              <w:spacing w:line="440" w:lineRule="exact"/>
              <w:rPr>
                <w:rFonts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各项组织管理制度齐全，设施标识规范（CTERN相关要求），按要求参加技术培训，配合日常管理工作等，其中存在问题或缺失的，1项扣1分，站长变更等重大事项不及时备案扣5分。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451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方正仿宋_GBK" w:hAnsi="方正仿宋_GBK" w:eastAsia="方正仿宋_GBK" w:cs="方正仿宋_GBK"/>
                <w:b/>
                <w:bCs/>
                <w:sz w:val="24"/>
                <w:szCs w:val="24"/>
              </w:rPr>
            </w:pPr>
          </w:p>
        </w:tc>
        <w:tc>
          <w:tcPr>
            <w:tcW w:w="2310" w:type="dxa"/>
            <w:vAlign w:val="center"/>
          </w:tcPr>
          <w:p>
            <w:pPr>
              <w:snapToGrid w:val="0"/>
              <w:jc w:val="center"/>
              <w:rPr>
                <w:rFonts w:ascii="方正仿宋_GBK" w:hAnsi="方正仿宋_GBK" w:eastAsia="方正仿宋_GBK" w:cs="方正仿宋_GBK"/>
                <w:b/>
                <w:bCs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</w:rPr>
              <w:t>仪器设施（5分）</w:t>
            </w:r>
          </w:p>
        </w:tc>
        <w:tc>
          <w:tcPr>
            <w:tcW w:w="10200" w:type="dxa"/>
          </w:tcPr>
          <w:p>
            <w:pPr>
              <w:snapToGrid w:val="0"/>
              <w:spacing w:line="440" w:lineRule="exact"/>
              <w:rPr>
                <w:rFonts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开展基本指标观测所需的基础设施齐全，仪器正常运转，维护良好，满分5分；存在设施缺失、损毁或不能正常观测的，按照水土气生及综合设施分类，每个类别扣2分，扣完为止。</w:t>
            </w:r>
          </w:p>
        </w:tc>
      </w:tr>
    </w:tbl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2CC23ECA"/>
    <w:rsid w:val="4B212D44"/>
    <w:rsid w:val="5D533A0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楷体_GB2312" w:cs="Times New Roman"/>
      <w:kern w:val="2"/>
      <w:sz w:val="28"/>
      <w:szCs w:val="20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4">
    <w:name w:val="Table Grid"/>
    <w:basedOn w:val="3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6">
    <w:name w:val="样式1"/>
    <w:basedOn w:val="1"/>
    <w:qFormat/>
    <w:uiPriority w:val="0"/>
    <w:rPr>
      <w:rFonts w:eastAsia="方正小标宋_GBK" w:asciiTheme="minorAscii" w:hAnsiTheme="minorAscii"/>
      <w:sz w:val="36"/>
    </w:rPr>
  </w:style>
  <w:style w:type="paragraph" w:customStyle="1" w:styleId="7">
    <w:name w:val="我的题目"/>
    <w:basedOn w:val="1"/>
    <w:uiPriority w:val="0"/>
    <w:rPr>
      <w:rFonts w:eastAsia="方正小标宋_GBK" w:asciiTheme="minorAscii" w:hAnsiTheme="minorAscii"/>
      <w:sz w:val="36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Kingsoft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ssw</dc:creator>
  <cp:lastModifiedBy>孙尚伟</cp:lastModifiedBy>
  <dcterms:modified xsi:type="dcterms:W3CDTF">2020-09-18T06:46:22Z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